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5B394" w14:textId="77777777" w:rsidR="00B201FC" w:rsidRDefault="00882AAF" w:rsidP="00B201FC">
      <w:pPr>
        <w:pStyle w:val="a4"/>
        <w:rPr>
          <w:caps w:val="0"/>
          <w:lang w:val="ru-RU"/>
        </w:rPr>
      </w:pPr>
      <w:r w:rsidRPr="00882AAF">
        <w:rPr>
          <w:lang w:val="ru-RU"/>
        </w:rPr>
        <w:t>Формирование паяного соединения в клиновидном вертикальном зазоре</w:t>
      </w:r>
      <w:r w:rsidR="00B201FC" w:rsidRPr="008D0540">
        <w:rPr>
          <w:lang w:val="ru-RU"/>
        </w:rPr>
        <w:br/>
      </w:r>
      <w:r>
        <w:rPr>
          <w:caps w:val="0"/>
          <w:lang w:val="ru-RU"/>
        </w:rPr>
        <w:t>Морозов В.А</w:t>
      </w:r>
      <w:r w:rsidR="00B201FC" w:rsidRPr="008D0540">
        <w:rPr>
          <w:caps w:val="0"/>
          <w:lang w:val="ru-RU"/>
        </w:rPr>
        <w:t xml:space="preserve">., </w:t>
      </w:r>
      <w:r>
        <w:rPr>
          <w:caps w:val="0"/>
          <w:lang w:val="ru-RU"/>
        </w:rPr>
        <w:t>Пашков И.Н.</w:t>
      </w:r>
      <w:r w:rsidR="00B201FC" w:rsidRPr="008D0540">
        <w:rPr>
          <w:caps w:val="0"/>
          <w:lang w:val="ru-RU"/>
        </w:rPr>
        <w:t xml:space="preserve">, </w:t>
      </w:r>
      <w:r>
        <w:rPr>
          <w:caps w:val="0"/>
          <w:lang w:val="ru-RU"/>
        </w:rPr>
        <w:t>Мисников В.Е</w:t>
      </w:r>
      <w:r w:rsidR="00B201FC" w:rsidRPr="008D0540">
        <w:rPr>
          <w:caps w:val="0"/>
          <w:lang w:val="ru-RU"/>
        </w:rPr>
        <w:t>.</w:t>
      </w:r>
    </w:p>
    <w:p w14:paraId="29E6E971" w14:textId="77777777" w:rsidR="00B201FC" w:rsidRPr="009B03FD" w:rsidRDefault="00B201FC" w:rsidP="00B201FC">
      <w:pPr>
        <w:spacing w:before="0" w:after="0" w:line="276" w:lineRule="auto"/>
        <w:ind w:firstLine="0"/>
        <w:jc w:val="center"/>
        <w:rPr>
          <w:szCs w:val="28"/>
          <w:lang w:val="ru-RU" w:eastAsia="ru-RU"/>
        </w:rPr>
      </w:pPr>
      <w:r w:rsidRPr="009B03FD">
        <w:rPr>
          <w:szCs w:val="28"/>
          <w:vertAlign w:val="superscript"/>
          <w:lang w:val="ru-RU" w:eastAsia="ru-RU"/>
        </w:rPr>
        <w:t>1</w:t>
      </w:r>
      <w:r w:rsidRPr="009B03FD">
        <w:rPr>
          <w:szCs w:val="28"/>
          <w:lang w:val="ru-RU" w:eastAsia="ru-RU"/>
        </w:rPr>
        <w:t>Ф</w:t>
      </w:r>
      <w:r>
        <w:rPr>
          <w:szCs w:val="28"/>
          <w:lang w:val="ru-RU" w:eastAsia="ru-RU"/>
        </w:rPr>
        <w:t>ГБОУ ВО «</w:t>
      </w:r>
      <w:r w:rsidRPr="009B03FD">
        <w:rPr>
          <w:szCs w:val="28"/>
          <w:lang w:val="ru-RU" w:eastAsia="ru-RU"/>
        </w:rPr>
        <w:t xml:space="preserve">Московский авиационный институт </w:t>
      </w:r>
      <w:r w:rsidRPr="009B03FD">
        <w:rPr>
          <w:lang w:val="ru-RU"/>
        </w:rPr>
        <w:br/>
      </w:r>
      <w:r w:rsidRPr="009B03FD">
        <w:rPr>
          <w:szCs w:val="28"/>
          <w:lang w:val="ru-RU" w:eastAsia="ru-RU"/>
        </w:rPr>
        <w:t>(Национальный исследовательский университет)</w:t>
      </w:r>
      <w:r>
        <w:rPr>
          <w:szCs w:val="28"/>
          <w:lang w:val="ru-RU" w:eastAsia="ru-RU"/>
        </w:rPr>
        <w:t>»</w:t>
      </w:r>
    </w:p>
    <w:p w14:paraId="1A966222" w14:textId="77777777" w:rsidR="00B201FC" w:rsidRPr="009B03FD" w:rsidRDefault="00B201FC" w:rsidP="00B201FC">
      <w:pPr>
        <w:spacing w:before="0" w:after="0" w:line="276" w:lineRule="auto"/>
        <w:ind w:firstLine="0"/>
        <w:jc w:val="center"/>
        <w:rPr>
          <w:szCs w:val="28"/>
          <w:lang w:val="ru-RU" w:eastAsia="ru-RU"/>
        </w:rPr>
      </w:pPr>
      <w:r w:rsidRPr="009B03FD">
        <w:rPr>
          <w:szCs w:val="28"/>
          <w:lang w:val="ru-RU" w:eastAsia="ru-RU"/>
        </w:rPr>
        <w:t>125993, Россия, г.Москва, Волоколамское шоссе, д.4</w:t>
      </w:r>
    </w:p>
    <w:p w14:paraId="163F60CF" w14:textId="77777777" w:rsidR="00B201FC" w:rsidRDefault="00B201FC" w:rsidP="00B201FC">
      <w:pPr>
        <w:spacing w:before="0" w:after="0" w:line="276" w:lineRule="auto"/>
        <w:ind w:firstLine="0"/>
        <w:jc w:val="center"/>
        <w:rPr>
          <w:szCs w:val="28"/>
          <w:lang w:val="ru-RU" w:eastAsia="ru-RU"/>
        </w:rPr>
      </w:pPr>
      <w:proofErr w:type="spellStart"/>
      <w:r w:rsidRPr="009B03FD">
        <w:rPr>
          <w:szCs w:val="28"/>
          <w:lang w:val="ru-RU" w:eastAsia="ru-RU"/>
        </w:rPr>
        <w:t>Тел</w:t>
      </w:r>
      <w:r>
        <w:rPr>
          <w:szCs w:val="28"/>
          <w:lang w:val="ru-RU" w:eastAsia="ru-RU"/>
        </w:rPr>
        <w:t>елефон</w:t>
      </w:r>
      <w:proofErr w:type="spellEnd"/>
      <w:r>
        <w:rPr>
          <w:szCs w:val="28"/>
          <w:lang w:val="ru-RU" w:eastAsia="ru-RU"/>
        </w:rPr>
        <w:t>:</w:t>
      </w:r>
      <w:r w:rsidRPr="009B03FD">
        <w:rPr>
          <w:szCs w:val="28"/>
          <w:lang w:val="ru-RU" w:eastAsia="ru-RU"/>
        </w:rPr>
        <w:t xml:space="preserve"> 8 (499) 158-92-09</w:t>
      </w:r>
    </w:p>
    <w:p w14:paraId="1871B05B" w14:textId="77777777" w:rsidR="00B201FC" w:rsidRPr="00882AAF" w:rsidRDefault="00B201FC" w:rsidP="00B201FC">
      <w:pPr>
        <w:spacing w:before="0" w:after="0" w:line="276" w:lineRule="auto"/>
        <w:ind w:firstLine="0"/>
        <w:jc w:val="center"/>
        <w:rPr>
          <w:szCs w:val="28"/>
          <w:lang w:val="ru-RU" w:eastAsia="ru-RU"/>
        </w:rPr>
      </w:pPr>
      <w:r w:rsidRPr="009B03FD">
        <w:rPr>
          <w:szCs w:val="28"/>
          <w:lang w:eastAsia="ru-RU"/>
        </w:rPr>
        <w:t>E</w:t>
      </w:r>
      <w:r w:rsidRPr="00882AAF">
        <w:rPr>
          <w:szCs w:val="28"/>
          <w:lang w:val="ru-RU" w:eastAsia="ru-RU"/>
        </w:rPr>
        <w:t>-</w:t>
      </w:r>
      <w:r w:rsidRPr="009B03FD">
        <w:rPr>
          <w:szCs w:val="28"/>
          <w:lang w:eastAsia="ru-RU"/>
        </w:rPr>
        <w:t>mail</w:t>
      </w:r>
      <w:r w:rsidRPr="00882AAF">
        <w:rPr>
          <w:szCs w:val="28"/>
          <w:lang w:val="ru-RU" w:eastAsia="ru-RU"/>
        </w:rPr>
        <w:t xml:space="preserve">: </w:t>
      </w:r>
      <w:hyperlink r:id="rId5" w:history="1">
        <w:r w:rsidRPr="00B925EB">
          <w:rPr>
            <w:rStyle w:val="a9"/>
            <w:szCs w:val="28"/>
            <w:lang w:eastAsia="ru-RU"/>
          </w:rPr>
          <w:t>itc</w:t>
        </w:r>
        <w:r w:rsidRPr="00882AAF">
          <w:rPr>
            <w:rStyle w:val="a9"/>
            <w:szCs w:val="28"/>
            <w:lang w:val="ru-RU" w:eastAsia="ru-RU"/>
          </w:rPr>
          <w:t>-</w:t>
        </w:r>
        <w:r w:rsidRPr="00B925EB">
          <w:rPr>
            <w:rStyle w:val="a9"/>
            <w:szCs w:val="28"/>
            <w:lang w:eastAsia="ru-RU"/>
          </w:rPr>
          <w:t>mati</w:t>
        </w:r>
        <w:r w:rsidRPr="00882AAF">
          <w:rPr>
            <w:rStyle w:val="a9"/>
            <w:szCs w:val="28"/>
            <w:lang w:val="ru-RU" w:eastAsia="ru-RU"/>
          </w:rPr>
          <w:t>@</w:t>
        </w:r>
        <w:r w:rsidRPr="00B925EB">
          <w:rPr>
            <w:rStyle w:val="a9"/>
            <w:szCs w:val="28"/>
            <w:lang w:eastAsia="ru-RU"/>
          </w:rPr>
          <w:t>mail</w:t>
        </w:r>
        <w:r w:rsidRPr="00882AAF">
          <w:rPr>
            <w:rStyle w:val="a9"/>
            <w:szCs w:val="28"/>
            <w:lang w:val="ru-RU" w:eastAsia="ru-RU"/>
          </w:rPr>
          <w:t>.</w:t>
        </w:r>
        <w:proofErr w:type="spellStart"/>
        <w:r w:rsidRPr="00B925EB">
          <w:rPr>
            <w:rStyle w:val="a9"/>
            <w:szCs w:val="28"/>
            <w:lang w:eastAsia="ru-RU"/>
          </w:rPr>
          <w:t>ru</w:t>
        </w:r>
        <w:proofErr w:type="spellEnd"/>
      </w:hyperlink>
    </w:p>
    <w:p w14:paraId="5C874DA7" w14:textId="77777777" w:rsidR="00B201FC" w:rsidRDefault="00B201FC" w:rsidP="00B201FC">
      <w:pPr>
        <w:rPr>
          <w:lang w:val="ru-RU"/>
        </w:rPr>
      </w:pPr>
    </w:p>
    <w:p w14:paraId="4DBADB28" w14:textId="77777777" w:rsidR="00B201FC" w:rsidRDefault="00B201FC" w:rsidP="00B201FC">
      <w:pPr>
        <w:rPr>
          <w:lang w:val="ru-RU"/>
        </w:rPr>
      </w:pPr>
      <w:r>
        <w:rPr>
          <w:lang w:val="ru-RU"/>
        </w:rPr>
        <w:t>Р</w:t>
      </w:r>
      <w:r w:rsidRPr="0067032A">
        <w:rPr>
          <w:lang w:val="ru-RU"/>
        </w:rPr>
        <w:t xml:space="preserve">ассматриваются вопросы </w:t>
      </w:r>
      <w:r w:rsidR="00882AAF">
        <w:rPr>
          <w:lang w:val="ru-RU"/>
        </w:rPr>
        <w:t>формирования паяного соединения при высокотемпературной пайке в вакууме вертикального клиновидного зазора припоем ВПр11-40Н.</w:t>
      </w:r>
    </w:p>
    <w:p w14:paraId="14765F0E" w14:textId="77777777" w:rsidR="00882AAF" w:rsidRPr="0067032A" w:rsidRDefault="00882AAF" w:rsidP="00B201FC">
      <w:pPr>
        <w:rPr>
          <w:lang w:val="ru-RU"/>
        </w:rPr>
      </w:pPr>
    </w:p>
    <w:p w14:paraId="1C29678B" w14:textId="77777777" w:rsidR="00882AAF" w:rsidRPr="00882AAF" w:rsidRDefault="00882AAF" w:rsidP="001327BF">
      <w:pPr>
        <w:spacing w:before="0" w:after="160" w:line="360" w:lineRule="auto"/>
        <w:ind w:firstLine="709"/>
        <w:rPr>
          <w:rFonts w:eastAsia="Calibri"/>
          <w:szCs w:val="28"/>
          <w:lang w:val="ru-RU"/>
        </w:rPr>
      </w:pPr>
      <w:r w:rsidRPr="00882AAF">
        <w:rPr>
          <w:rFonts w:eastAsia="Calibri"/>
          <w:szCs w:val="28"/>
          <w:lang w:val="ru-RU"/>
        </w:rPr>
        <w:t>Для исследования заполнения зазора были собраны образцы с вертикальным клиновидным зазором</w:t>
      </w:r>
      <w:r>
        <w:rPr>
          <w:rFonts w:eastAsia="Calibri"/>
          <w:szCs w:val="28"/>
          <w:lang w:val="ru-RU"/>
        </w:rPr>
        <w:t>, представленные на рисунке 1</w:t>
      </w:r>
      <w:r w:rsidRPr="00882AAF">
        <w:rPr>
          <w:rFonts w:eastAsia="Calibri"/>
          <w:szCs w:val="28"/>
          <w:lang w:val="ru-RU"/>
        </w:rPr>
        <w:t>. Для образцов использовали пластины из стали ХН78Т размером 3*40*40 мм полученные из листа (</w:t>
      </w:r>
      <w:r w:rsidRPr="00882AAF">
        <w:rPr>
          <w:rFonts w:eastAsia="Calibri"/>
          <w:szCs w:val="22"/>
          <w:lang w:val="ru-RU"/>
        </w:rPr>
        <w:t>ГОСТ 24982-81) гидроабразивной резкой</w:t>
      </w:r>
      <w:r w:rsidRPr="00882AAF">
        <w:rPr>
          <w:rFonts w:eastAsia="Calibri"/>
          <w:szCs w:val="28"/>
          <w:lang w:val="ru-RU"/>
        </w:rPr>
        <w:t xml:space="preserve">. Клиновидность зазора обеспечивали вольфрамовой проволокой диаметром 2,5 мм. Образец помещали в керамический тигель, предварительно заполненный порошком припоя ВПр11-40Н таки образом, чтобы образец стоял непосредственно на дне тигля (рисунок </w:t>
      </w:r>
      <w:r w:rsidR="001327BF">
        <w:rPr>
          <w:rFonts w:eastAsia="Calibri"/>
          <w:szCs w:val="28"/>
          <w:lang w:val="ru-RU"/>
        </w:rPr>
        <w:t>1</w:t>
      </w:r>
      <w:r w:rsidRPr="00882AAF">
        <w:rPr>
          <w:rFonts w:eastAsia="Calibri"/>
          <w:szCs w:val="28"/>
          <w:lang w:val="ru-RU"/>
        </w:rPr>
        <w:t xml:space="preserve">). Количество припоя рассчитывали исходя из объема паяного соединения, так для заполнения переменного зазора требовалось 5 </w:t>
      </w:r>
      <w:proofErr w:type="spellStart"/>
      <w:r w:rsidRPr="00882AAF">
        <w:rPr>
          <w:rFonts w:eastAsia="Calibri"/>
          <w:szCs w:val="28"/>
          <w:lang w:val="ru-RU"/>
        </w:rPr>
        <w:t>гр</w:t>
      </w:r>
      <w:proofErr w:type="spellEnd"/>
      <w:r w:rsidRPr="00882AAF">
        <w:rPr>
          <w:rFonts w:eastAsia="Calibri"/>
          <w:szCs w:val="28"/>
          <w:lang w:val="ru-RU"/>
        </w:rPr>
        <w:t xml:space="preserve"> припоя. Для исследования влияния избытка жидкой фазы количество припоя увеличивали в два раза.</w:t>
      </w:r>
    </w:p>
    <w:p w14:paraId="7B75EF99" w14:textId="77777777" w:rsidR="00882AAF" w:rsidRPr="00882AAF" w:rsidRDefault="00882AAF" w:rsidP="00882AAF">
      <w:pPr>
        <w:spacing w:before="0" w:after="160" w:line="360" w:lineRule="auto"/>
        <w:ind w:firstLine="709"/>
        <w:rPr>
          <w:rFonts w:eastAsia="Calibri"/>
          <w:szCs w:val="28"/>
          <w:lang w:val="ru-RU"/>
        </w:rPr>
      </w:pPr>
      <w:r w:rsidRPr="00882AAF">
        <w:rPr>
          <w:rFonts w:eastAsia="Calibri"/>
          <w:szCs w:val="28"/>
          <w:lang w:val="ru-RU"/>
        </w:rPr>
        <w:t>Пайку образцов проводили в лабораторной вакуумной печи с резистивным нагревом ВЕГА-3 с молибденовыми нагревателями в вакууме 1,3х10</w:t>
      </w:r>
      <w:r w:rsidRPr="00882AAF">
        <w:rPr>
          <w:rFonts w:eastAsia="Calibri"/>
          <w:szCs w:val="28"/>
          <w:vertAlign w:val="superscript"/>
          <w:lang w:val="ru-RU"/>
        </w:rPr>
        <w:t xml:space="preserve">-3 </w:t>
      </w:r>
      <w:r w:rsidRPr="00882AAF">
        <w:rPr>
          <w:rFonts w:eastAsia="Calibri"/>
          <w:szCs w:val="28"/>
          <w:lang w:val="ru-RU"/>
        </w:rPr>
        <w:t>Па при температуре до 1090 °</w:t>
      </w:r>
      <w:r w:rsidR="001327BF">
        <w:rPr>
          <w:rFonts w:eastAsia="Calibri"/>
          <w:szCs w:val="28"/>
          <w:lang w:val="ru-RU"/>
        </w:rPr>
        <w:t xml:space="preserve">С. </w:t>
      </w:r>
      <w:r w:rsidR="001327BF" w:rsidRPr="00882AAF">
        <w:rPr>
          <w:rFonts w:eastAsia="Calibri"/>
          <w:szCs w:val="28"/>
          <w:lang w:val="ru-RU"/>
        </w:rPr>
        <w:t xml:space="preserve">После пайки образцы резали с помощью электроэрозионного станка с шагом 5 мм от уровня расплава припоя, схема резки образцов представлена на рисунке </w:t>
      </w:r>
      <w:r w:rsidR="001327BF">
        <w:rPr>
          <w:rFonts w:eastAsia="Calibri"/>
          <w:szCs w:val="28"/>
          <w:lang w:val="ru-RU"/>
        </w:rPr>
        <w:t>1</w:t>
      </w:r>
      <w:r w:rsidR="001327BF" w:rsidRPr="00882AAF">
        <w:rPr>
          <w:rFonts w:eastAsia="Calibri"/>
          <w:szCs w:val="28"/>
          <w:lang w:val="ru-RU"/>
        </w:rPr>
        <w:t>.</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4"/>
        <w:gridCol w:w="5141"/>
      </w:tblGrid>
      <w:tr w:rsidR="001327BF" w:rsidRPr="00882AAF" w14:paraId="40214949" w14:textId="77777777" w:rsidTr="001327BF">
        <w:tc>
          <w:tcPr>
            <w:tcW w:w="4785" w:type="dxa"/>
          </w:tcPr>
          <w:p w14:paraId="7675B1F2" w14:textId="77777777" w:rsidR="001327BF" w:rsidRPr="00882AAF" w:rsidRDefault="001327BF" w:rsidP="00882AAF">
            <w:pPr>
              <w:spacing w:before="0" w:after="160" w:line="360" w:lineRule="auto"/>
              <w:ind w:firstLine="0"/>
              <w:jc w:val="center"/>
              <w:rPr>
                <w:rFonts w:eastAsia="Calibri"/>
                <w:szCs w:val="28"/>
                <w:lang w:val="ru-RU"/>
              </w:rPr>
            </w:pPr>
            <w:r w:rsidRPr="00882AAF">
              <w:rPr>
                <w:rFonts w:eastAsia="Calibri"/>
                <w:noProof/>
                <w:lang w:val="ru-RU"/>
              </w:rPr>
              <w:object w:dxaOrig="5772" w:dyaOrig="6396" w14:anchorId="0C153B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164.4pt" o:ole="">
                  <v:imagedata r:id="rId6" o:title=""/>
                </v:shape>
                <o:OLEObject Type="Embed" ProgID="PBrush" ShapeID="_x0000_i1025" DrawAspect="Content" ObjectID="_1839415094" r:id="rId7"/>
              </w:object>
            </w:r>
          </w:p>
        </w:tc>
        <w:tc>
          <w:tcPr>
            <w:tcW w:w="4786" w:type="dxa"/>
          </w:tcPr>
          <w:p w14:paraId="1C388A60" w14:textId="77777777" w:rsidR="001327BF" w:rsidRPr="00882AAF" w:rsidRDefault="001327BF" w:rsidP="00882AAF">
            <w:pPr>
              <w:spacing w:before="0" w:after="160" w:line="360" w:lineRule="auto"/>
              <w:ind w:firstLine="0"/>
              <w:jc w:val="center"/>
              <w:rPr>
                <w:rFonts w:eastAsia="Calibri"/>
                <w:szCs w:val="28"/>
                <w:lang w:val="ru-RU"/>
              </w:rPr>
            </w:pPr>
            <w:r w:rsidRPr="00882AAF">
              <w:rPr>
                <w:rFonts w:eastAsia="Calibri"/>
                <w:noProof/>
                <w:szCs w:val="28"/>
                <w:lang w:val="ru-RU" w:eastAsia="ru-RU"/>
              </w:rPr>
              <w:drawing>
                <wp:inline distT="0" distB="0" distL="0" distR="0" wp14:anchorId="259BBAF1" wp14:editId="625F7409">
                  <wp:extent cx="3127645" cy="2095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азметка резки образцов.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4065" cy="2106502"/>
                          </a:xfrm>
                          <a:prstGeom prst="rect">
                            <a:avLst/>
                          </a:prstGeom>
                        </pic:spPr>
                      </pic:pic>
                    </a:graphicData>
                  </a:graphic>
                </wp:inline>
              </w:drawing>
            </w:r>
          </w:p>
        </w:tc>
      </w:tr>
      <w:tr w:rsidR="00882AAF" w:rsidRPr="005C4B0B" w14:paraId="5DD3B8D4" w14:textId="77777777" w:rsidTr="001327BF">
        <w:tc>
          <w:tcPr>
            <w:tcW w:w="9571" w:type="dxa"/>
            <w:gridSpan w:val="2"/>
          </w:tcPr>
          <w:p w14:paraId="58054923" w14:textId="77777777" w:rsidR="00882AAF" w:rsidRPr="00882AAF" w:rsidRDefault="00882AAF" w:rsidP="001327BF">
            <w:pPr>
              <w:spacing w:before="0" w:after="160" w:line="276" w:lineRule="auto"/>
              <w:ind w:firstLine="0"/>
              <w:jc w:val="center"/>
              <w:rPr>
                <w:rFonts w:eastAsia="Calibri"/>
                <w:szCs w:val="28"/>
                <w:lang w:val="ru-RU"/>
              </w:rPr>
            </w:pPr>
            <w:r w:rsidRPr="001327BF">
              <w:rPr>
                <w:rFonts w:eastAsia="Calibri"/>
                <w:sz w:val="24"/>
                <w:szCs w:val="28"/>
                <w:lang w:val="ru-RU"/>
              </w:rPr>
              <w:t>Рисунок 1</w:t>
            </w:r>
            <w:r w:rsidRPr="00882AAF">
              <w:rPr>
                <w:rFonts w:eastAsia="Calibri"/>
                <w:sz w:val="24"/>
                <w:szCs w:val="28"/>
                <w:lang w:val="ru-RU"/>
              </w:rPr>
              <w:t xml:space="preserve"> – </w:t>
            </w:r>
            <w:r w:rsidR="001327BF" w:rsidRPr="001327BF">
              <w:rPr>
                <w:rFonts w:eastAsia="Calibri"/>
                <w:sz w:val="24"/>
                <w:szCs w:val="28"/>
                <w:lang w:val="ru-RU"/>
              </w:rPr>
              <w:t>Образец для исследования заполнения зазора. Общий вид – слева; схема резки – справа.</w:t>
            </w:r>
          </w:p>
        </w:tc>
      </w:tr>
    </w:tbl>
    <w:p w14:paraId="1E66732F" w14:textId="77777777" w:rsidR="00882AAF" w:rsidRDefault="00882AAF" w:rsidP="00882AAF">
      <w:pPr>
        <w:spacing w:before="0" w:after="160" w:line="360" w:lineRule="auto"/>
        <w:ind w:firstLine="709"/>
        <w:rPr>
          <w:rFonts w:eastAsia="Calibri"/>
          <w:szCs w:val="28"/>
          <w:lang w:val="ru-RU"/>
        </w:rPr>
      </w:pPr>
      <w:r w:rsidRPr="00882AAF">
        <w:rPr>
          <w:rFonts w:eastAsia="Calibri"/>
          <w:szCs w:val="28"/>
          <w:lang w:val="ru-RU"/>
        </w:rPr>
        <w:t xml:space="preserve">Определение высоты подъема припоя и замер зазоров осуществляли с помощью оптического бинокулярного микроскопа МБС-10. Исследование микроструктуры паянных швов и диффузионной зоны проводили методом микрорентгеносперального анализа (МРСА) на сканирующем электронном микроскопе </w:t>
      </w:r>
      <w:r w:rsidRPr="00882AAF">
        <w:rPr>
          <w:rFonts w:eastAsia="Calibri"/>
          <w:szCs w:val="28"/>
        </w:rPr>
        <w:t>TESCAN</w:t>
      </w:r>
      <w:r w:rsidRPr="00882AAF">
        <w:rPr>
          <w:rFonts w:eastAsia="Calibri"/>
          <w:szCs w:val="28"/>
          <w:lang w:val="ru-RU"/>
        </w:rPr>
        <w:t xml:space="preserve"> </w:t>
      </w:r>
      <w:r w:rsidRPr="00882AAF">
        <w:rPr>
          <w:rFonts w:eastAsia="Calibri"/>
          <w:szCs w:val="28"/>
        </w:rPr>
        <w:t>VEGA</w:t>
      </w:r>
      <w:r w:rsidRPr="00882AAF">
        <w:rPr>
          <w:rFonts w:eastAsia="Calibri"/>
          <w:szCs w:val="28"/>
          <w:lang w:val="ru-RU"/>
        </w:rPr>
        <w:t xml:space="preserve"> 3 </w:t>
      </w:r>
      <w:r w:rsidRPr="00882AAF">
        <w:rPr>
          <w:rFonts w:eastAsia="Calibri"/>
          <w:szCs w:val="28"/>
        </w:rPr>
        <w:t>SBH</w:t>
      </w:r>
      <w:r w:rsidRPr="00882AAF">
        <w:rPr>
          <w:rFonts w:eastAsia="Calibri"/>
          <w:szCs w:val="28"/>
          <w:lang w:val="ru-RU"/>
        </w:rPr>
        <w:t xml:space="preserve"> оснащенным системой рентгеновского энергодисперсного микроанализа </w:t>
      </w:r>
      <w:r w:rsidRPr="00882AAF">
        <w:rPr>
          <w:rFonts w:eastAsia="Calibri"/>
          <w:szCs w:val="28"/>
        </w:rPr>
        <w:t>Oxford</w:t>
      </w:r>
      <w:r w:rsidRPr="00882AAF">
        <w:rPr>
          <w:rFonts w:eastAsia="Calibri"/>
          <w:szCs w:val="28"/>
          <w:lang w:val="ru-RU"/>
        </w:rPr>
        <w:t xml:space="preserve"> </w:t>
      </w:r>
      <w:r w:rsidRPr="00882AAF">
        <w:rPr>
          <w:rFonts w:eastAsia="Calibri"/>
          <w:szCs w:val="28"/>
        </w:rPr>
        <w:t>Instruments</w:t>
      </w:r>
      <w:r w:rsidRPr="00882AAF">
        <w:rPr>
          <w:rFonts w:eastAsia="Calibri"/>
          <w:szCs w:val="28"/>
          <w:lang w:val="ru-RU"/>
        </w:rPr>
        <w:t xml:space="preserve"> </w:t>
      </w:r>
      <w:r w:rsidRPr="00882AAF">
        <w:rPr>
          <w:rFonts w:eastAsia="Calibri"/>
          <w:szCs w:val="28"/>
        </w:rPr>
        <w:t>Advanced</w:t>
      </w:r>
      <w:r w:rsidRPr="00882AAF">
        <w:rPr>
          <w:rFonts w:eastAsia="Calibri"/>
          <w:szCs w:val="28"/>
          <w:lang w:val="ru-RU"/>
        </w:rPr>
        <w:t xml:space="preserve"> </w:t>
      </w:r>
      <w:proofErr w:type="spellStart"/>
      <w:r w:rsidRPr="00882AAF">
        <w:rPr>
          <w:rFonts w:eastAsia="Calibri"/>
          <w:szCs w:val="28"/>
        </w:rPr>
        <w:t>AZtecEnergu</w:t>
      </w:r>
      <w:proofErr w:type="spellEnd"/>
      <w:r w:rsidRPr="00882AAF">
        <w:rPr>
          <w:rFonts w:eastAsia="Calibri"/>
          <w:szCs w:val="28"/>
          <w:lang w:val="ru-RU"/>
        </w:rPr>
        <w:t xml:space="preserve">. </w:t>
      </w:r>
    </w:p>
    <w:p w14:paraId="5B5DA791" w14:textId="77777777" w:rsidR="00882AAF" w:rsidRPr="00882AAF" w:rsidRDefault="00882AAF" w:rsidP="00882AAF">
      <w:pPr>
        <w:spacing w:before="0" w:after="0" w:line="360" w:lineRule="auto"/>
        <w:ind w:firstLine="567"/>
        <w:rPr>
          <w:rFonts w:eastAsia="Calibri"/>
          <w:szCs w:val="28"/>
          <w:lang w:val="ru-RU"/>
        </w:rPr>
      </w:pPr>
      <w:r w:rsidRPr="00882AAF">
        <w:rPr>
          <w:rFonts w:eastAsia="Calibri"/>
          <w:szCs w:val="28"/>
          <w:lang w:val="ru-RU"/>
        </w:rPr>
        <w:t>На рисунке 3 представлены данные заполнения переменного зазора в зависимости от температуры пайки и массы припоя. На графике видно, что с увеличением количества припоя характер заполнения существенно меняется. При увеличении количества припоя в два раза и температуре пайки чуть выше температуры ликвидуса угол падения кривой заполнения припоя значительно снижается. Т.е. при одинаковой температуре, и увеличении количества припоя в два раза, количество жидкого расплава, втянутого в клиновидный зазор, увеличилось более чем в три раза. Учитывая, что величина зазора составляет примерно один миллиметр, нельзя говорить, что он заполнился только при помощи капиллярных сил. При этом подняв температуру пайки на 50 градусов выше температуры ликвидуса припоя, ощутимой разницы в заполнении зазора в зависимости от количества припоя уже нет и графики идут довольно близко друг к другу, а значения измерений лежат в пределах доверительного интервала.</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1"/>
      </w:tblGrid>
      <w:tr w:rsidR="00882AAF" w:rsidRPr="00882AAF" w14:paraId="13EE4BF2" w14:textId="77777777" w:rsidTr="000A50C8">
        <w:tc>
          <w:tcPr>
            <w:tcW w:w="9781" w:type="dxa"/>
          </w:tcPr>
          <w:p w14:paraId="32F2492F" w14:textId="77777777" w:rsidR="00882AAF" w:rsidRPr="00882AAF" w:rsidRDefault="00882AAF" w:rsidP="00882AAF">
            <w:pPr>
              <w:spacing w:before="0" w:after="160" w:line="360" w:lineRule="auto"/>
              <w:ind w:firstLine="709"/>
              <w:rPr>
                <w:rFonts w:eastAsia="Calibri"/>
                <w:szCs w:val="28"/>
                <w:lang w:val="ru-RU"/>
              </w:rPr>
            </w:pPr>
            <w:r w:rsidRPr="00882AAF">
              <w:rPr>
                <w:rFonts w:eastAsia="Calibri"/>
                <w:noProof/>
                <w:szCs w:val="28"/>
                <w:lang w:val="ru-RU" w:eastAsia="ru-RU"/>
              </w:rPr>
              <w:lastRenderedPageBreak/>
              <w:drawing>
                <wp:inline distT="0" distB="0" distL="0" distR="0" wp14:anchorId="02F357DD" wp14:editId="4C7E5D8D">
                  <wp:extent cx="4815840" cy="2979420"/>
                  <wp:effectExtent l="0" t="0" r="0" b="0"/>
                  <wp:docPr id="14338" name="Диаграмма 14338">
                    <a:extLst xmlns:a="http://schemas.openxmlformats.org/drawingml/2006/main">
                      <a:ext uri="{FF2B5EF4-FFF2-40B4-BE49-F238E27FC236}">
                        <a16:creationId xmlns:a16="http://schemas.microsoft.com/office/drawing/2014/main" id="{DBC9B798-C431-4BFD-B05D-56F58E475D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882AAF" w:rsidRPr="005C4B0B" w14:paraId="49C80356" w14:textId="77777777" w:rsidTr="000A50C8">
        <w:tc>
          <w:tcPr>
            <w:tcW w:w="9781" w:type="dxa"/>
          </w:tcPr>
          <w:p w14:paraId="37E43B69" w14:textId="77777777" w:rsidR="00882AAF" w:rsidRPr="00882AAF" w:rsidRDefault="00882AAF" w:rsidP="001327BF">
            <w:pPr>
              <w:spacing w:before="0" w:after="160" w:line="276" w:lineRule="auto"/>
              <w:ind w:firstLine="709"/>
              <w:jc w:val="center"/>
              <w:rPr>
                <w:rFonts w:eastAsia="Calibri"/>
                <w:szCs w:val="28"/>
                <w:lang w:val="ru-RU"/>
              </w:rPr>
            </w:pPr>
            <w:r w:rsidRPr="00882AAF">
              <w:rPr>
                <w:rFonts w:eastAsia="Calibri"/>
                <w:sz w:val="24"/>
                <w:szCs w:val="28"/>
                <w:lang w:val="ru-RU"/>
              </w:rPr>
              <w:t>Рисунок 3 – Заполнение вертикального зазора в зависимости от величины зазора, количества припоя и температуры пайки.</w:t>
            </w:r>
          </w:p>
        </w:tc>
      </w:tr>
    </w:tbl>
    <w:p w14:paraId="1934CC11" w14:textId="77777777" w:rsidR="00882AAF" w:rsidRPr="00882AAF" w:rsidRDefault="00882AAF" w:rsidP="00882AAF">
      <w:pPr>
        <w:spacing w:before="0" w:after="0" w:line="360" w:lineRule="auto"/>
        <w:ind w:firstLine="567"/>
        <w:rPr>
          <w:rFonts w:eastAsia="Calibri"/>
          <w:szCs w:val="28"/>
          <w:lang w:val="ru-RU"/>
        </w:rPr>
      </w:pPr>
      <w:r w:rsidRPr="00882AAF">
        <w:rPr>
          <w:rFonts w:eastAsia="Calibri"/>
          <w:szCs w:val="28"/>
          <w:lang w:val="ru-RU"/>
        </w:rPr>
        <w:t xml:space="preserve">В процессе заполнения переменного зазора помимо капиллярных сил дополнительно оказывают влияние диффузионные процессы, протекающие на границе припоя и материала пластин, которые меняют химический состав расплава во время заполнения и тем самым меняют его поведение в зазоре. Этапы процесса высокотемпературной пайки борсодержащим никелевым припоем представлена на рисунке </w:t>
      </w:r>
      <w:r w:rsidR="001327BF">
        <w:rPr>
          <w:rFonts w:eastAsia="Calibri"/>
          <w:szCs w:val="28"/>
          <w:lang w:val="ru-RU"/>
        </w:rPr>
        <w:t>4</w:t>
      </w:r>
      <w:r w:rsidRPr="00882AAF">
        <w:rPr>
          <w:rFonts w:eastAsia="Calibri"/>
          <w:szCs w:val="28"/>
          <w:lang w:val="ru-RU"/>
        </w:rPr>
        <w:t>. При достижении Т</w:t>
      </w:r>
      <w:r w:rsidRPr="00882AAF">
        <w:rPr>
          <w:rFonts w:eastAsia="Calibri"/>
          <w:szCs w:val="28"/>
          <w:vertAlign w:val="subscript"/>
          <w:lang w:val="ru-RU"/>
        </w:rPr>
        <w:t xml:space="preserve">солидуса </w:t>
      </w:r>
      <w:r w:rsidRPr="00882AAF">
        <w:rPr>
          <w:rFonts w:eastAsia="Calibri"/>
          <w:szCs w:val="28"/>
          <w:lang w:val="ru-RU"/>
        </w:rPr>
        <w:t>припоя появляется первичная жидкая фаза, которая активно смачивает основной материал и начинает заполнять зазор. При этом бор и кремний из расплава припоя начинает диффундировать в основной материал, а железо и кремний в расплав припоя. За счет этого смещается интервал пл</w:t>
      </w:r>
      <w:r w:rsidR="001327BF">
        <w:rPr>
          <w:rFonts w:eastAsia="Calibri"/>
          <w:szCs w:val="28"/>
          <w:lang w:val="ru-RU"/>
        </w:rPr>
        <w:t>авления припоя в до эвтектической области</w:t>
      </w:r>
      <w:r w:rsidRPr="00882AAF">
        <w:rPr>
          <w:rFonts w:eastAsia="Calibri"/>
          <w:szCs w:val="28"/>
          <w:lang w:val="ru-RU"/>
        </w:rPr>
        <w:t>. При выдержке на Т</w:t>
      </w:r>
      <w:r w:rsidRPr="00882AAF">
        <w:rPr>
          <w:rFonts w:eastAsia="Calibri"/>
          <w:szCs w:val="28"/>
          <w:vertAlign w:val="subscript"/>
          <w:lang w:val="ru-RU"/>
        </w:rPr>
        <w:t>пайки</w:t>
      </w:r>
      <w:r w:rsidRPr="00882AAF">
        <w:rPr>
          <w:rFonts w:eastAsia="Calibri"/>
          <w:szCs w:val="28"/>
          <w:lang w:val="ru-RU"/>
        </w:rPr>
        <w:t xml:space="preserve"> компоненты стали растворяются в расплаве до того момента, пока состав жидкости не приблизится к равновесному во всем объеме составу </w:t>
      </w:r>
      <w:proofErr w:type="spellStart"/>
      <w:r w:rsidRPr="00882AAF">
        <w:rPr>
          <w:rFonts w:eastAsia="Calibri"/>
          <w:szCs w:val="28"/>
          <w:lang w:val="ru-RU"/>
        </w:rPr>
        <w:t>С</w:t>
      </w:r>
      <w:r w:rsidRPr="00882AAF">
        <w:rPr>
          <w:rFonts w:eastAsia="Calibri"/>
          <w:szCs w:val="28"/>
          <w:vertAlign w:val="subscript"/>
          <w:lang w:val="ru-RU"/>
        </w:rPr>
        <w:t>ж</w:t>
      </w:r>
      <w:proofErr w:type="spellEnd"/>
      <w:r w:rsidRPr="00882AAF">
        <w:rPr>
          <w:rFonts w:eastAsia="Calibri"/>
          <w:szCs w:val="28"/>
          <w:lang w:val="ru-RU"/>
        </w:rPr>
        <w:t>. в припое. При этом в случае если нет избытка жидкой фазы начинается процесс изотермической кристаллизации припоя. Но когда внизу зазора находится избыток жидкой фазы, образовавшийся в результате изотермической кристаллизации капиллярный зазор начинает затягивать в себя этот избыток, тем самым меняя кривую заполнения.</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4"/>
        <w:gridCol w:w="3107"/>
        <w:gridCol w:w="3024"/>
      </w:tblGrid>
      <w:tr w:rsidR="00882AAF" w:rsidRPr="00882AAF" w14:paraId="2E1F5010" w14:textId="77777777" w:rsidTr="00CD5D94">
        <w:tc>
          <w:tcPr>
            <w:tcW w:w="9571" w:type="dxa"/>
            <w:gridSpan w:val="3"/>
          </w:tcPr>
          <w:p w14:paraId="19856924" w14:textId="77777777" w:rsidR="00882AAF" w:rsidRPr="00882AAF" w:rsidRDefault="00882AAF" w:rsidP="00882AAF">
            <w:pPr>
              <w:spacing w:before="0" w:after="160" w:line="360" w:lineRule="auto"/>
              <w:ind w:firstLine="0"/>
              <w:jc w:val="center"/>
              <w:rPr>
                <w:rFonts w:eastAsia="Calibri"/>
                <w:szCs w:val="28"/>
                <w:lang w:val="ru-RU"/>
              </w:rPr>
            </w:pPr>
            <w:r w:rsidRPr="00882AAF">
              <w:rPr>
                <w:rFonts w:eastAsia="Calibri"/>
                <w:noProof/>
                <w:szCs w:val="28"/>
                <w:lang w:val="ru-RU" w:eastAsia="ru-RU"/>
              </w:rPr>
              <w:lastRenderedPageBreak/>
              <w:drawing>
                <wp:inline distT="0" distB="0" distL="0" distR="0" wp14:anchorId="26D7C0C5" wp14:editId="3E0B082E">
                  <wp:extent cx="4271110" cy="167899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Механизм формирования соединения.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50491" cy="1710202"/>
                          </a:xfrm>
                          <a:prstGeom prst="rect">
                            <a:avLst/>
                          </a:prstGeom>
                        </pic:spPr>
                      </pic:pic>
                    </a:graphicData>
                  </a:graphic>
                </wp:inline>
              </w:drawing>
            </w:r>
          </w:p>
        </w:tc>
      </w:tr>
      <w:tr w:rsidR="001327BF" w:rsidRPr="00882AAF" w14:paraId="078994C7" w14:textId="77777777" w:rsidTr="00CD5D94">
        <w:tc>
          <w:tcPr>
            <w:tcW w:w="3253" w:type="dxa"/>
          </w:tcPr>
          <w:p w14:paraId="024F4252" w14:textId="77777777" w:rsidR="00882AAF" w:rsidRPr="00882AAF" w:rsidRDefault="00882AAF" w:rsidP="001327BF">
            <w:pPr>
              <w:spacing w:before="0" w:after="160" w:line="276" w:lineRule="auto"/>
              <w:ind w:firstLine="0"/>
              <w:jc w:val="center"/>
              <w:rPr>
                <w:rFonts w:eastAsia="Calibri"/>
                <w:sz w:val="24"/>
                <w:lang w:val="ru-RU"/>
              </w:rPr>
            </w:pPr>
            <w:r w:rsidRPr="00882AAF">
              <w:rPr>
                <w:rFonts w:eastAsia="Calibri"/>
                <w:sz w:val="24"/>
                <w:lang w:val="ru-RU"/>
              </w:rPr>
              <w:t>а)</w:t>
            </w:r>
          </w:p>
        </w:tc>
        <w:tc>
          <w:tcPr>
            <w:tcW w:w="3184" w:type="dxa"/>
          </w:tcPr>
          <w:p w14:paraId="35AFE25C" w14:textId="77777777" w:rsidR="00882AAF" w:rsidRPr="00882AAF" w:rsidRDefault="00882AAF" w:rsidP="001327BF">
            <w:pPr>
              <w:spacing w:before="0" w:after="160" w:line="276" w:lineRule="auto"/>
              <w:ind w:firstLine="0"/>
              <w:jc w:val="center"/>
              <w:rPr>
                <w:rFonts w:eastAsia="Calibri"/>
                <w:sz w:val="24"/>
                <w:lang w:val="ru-RU"/>
              </w:rPr>
            </w:pPr>
            <w:r w:rsidRPr="00882AAF">
              <w:rPr>
                <w:rFonts w:eastAsia="Calibri"/>
                <w:sz w:val="24"/>
                <w:lang w:val="ru-RU"/>
              </w:rPr>
              <w:t>б)</w:t>
            </w:r>
          </w:p>
        </w:tc>
        <w:tc>
          <w:tcPr>
            <w:tcW w:w="3134" w:type="dxa"/>
          </w:tcPr>
          <w:p w14:paraId="378BC176" w14:textId="77777777" w:rsidR="00882AAF" w:rsidRPr="00882AAF" w:rsidRDefault="00882AAF" w:rsidP="001327BF">
            <w:pPr>
              <w:spacing w:before="0" w:after="160" w:line="276" w:lineRule="auto"/>
              <w:ind w:firstLine="0"/>
              <w:jc w:val="center"/>
              <w:rPr>
                <w:rFonts w:eastAsia="Calibri"/>
                <w:sz w:val="24"/>
                <w:lang w:val="ru-RU"/>
              </w:rPr>
            </w:pPr>
            <w:r w:rsidRPr="00882AAF">
              <w:rPr>
                <w:rFonts w:eastAsia="Calibri"/>
                <w:sz w:val="24"/>
                <w:lang w:val="ru-RU"/>
              </w:rPr>
              <w:t>в)</w:t>
            </w:r>
          </w:p>
        </w:tc>
      </w:tr>
      <w:tr w:rsidR="00882AAF" w:rsidRPr="005C4B0B" w14:paraId="2C231250" w14:textId="77777777" w:rsidTr="00CD5D94">
        <w:tc>
          <w:tcPr>
            <w:tcW w:w="9571" w:type="dxa"/>
            <w:gridSpan w:val="3"/>
          </w:tcPr>
          <w:p w14:paraId="441D3FA7" w14:textId="77777777" w:rsidR="00882AAF" w:rsidRPr="00882AAF" w:rsidRDefault="00882AAF" w:rsidP="001327BF">
            <w:pPr>
              <w:spacing w:before="0" w:after="160" w:line="276" w:lineRule="auto"/>
              <w:ind w:firstLine="0"/>
              <w:rPr>
                <w:rFonts w:eastAsia="Calibri"/>
                <w:sz w:val="24"/>
                <w:lang w:val="ru-RU"/>
              </w:rPr>
            </w:pPr>
            <w:r w:rsidRPr="00882AAF">
              <w:rPr>
                <w:rFonts w:eastAsia="Calibri"/>
                <w:sz w:val="24"/>
                <w:lang w:val="ru-RU"/>
              </w:rPr>
              <w:t xml:space="preserve">а – зазор не заполнен расплавом </w:t>
            </w:r>
            <w:proofErr w:type="gramStart"/>
            <w:r w:rsidRPr="00882AAF">
              <w:rPr>
                <w:rFonts w:eastAsia="Calibri"/>
                <w:sz w:val="24"/>
                <w:lang w:val="ru-RU"/>
              </w:rPr>
              <w:t>Т</w:t>
            </w:r>
            <w:r w:rsidRPr="00882AAF">
              <w:rPr>
                <w:rFonts w:eastAsia="Calibri"/>
                <w:sz w:val="24"/>
                <w:vertAlign w:val="subscript"/>
                <w:lang w:val="ru-RU"/>
              </w:rPr>
              <w:t>образца</w:t>
            </w:r>
            <w:r w:rsidRPr="00882AAF">
              <w:rPr>
                <w:rFonts w:eastAsia="Calibri"/>
                <w:sz w:val="24"/>
                <w:lang w:val="ru-RU"/>
              </w:rPr>
              <w:t>&lt;</w:t>
            </w:r>
            <w:proofErr w:type="gramEnd"/>
            <w:r w:rsidRPr="00882AAF">
              <w:rPr>
                <w:rFonts w:eastAsia="Calibri"/>
                <w:sz w:val="24"/>
              </w:rPr>
              <w:t>T</w:t>
            </w:r>
            <w:r w:rsidRPr="00882AAF">
              <w:rPr>
                <w:rFonts w:eastAsia="Calibri"/>
                <w:sz w:val="24"/>
                <w:vertAlign w:val="subscript"/>
                <w:lang w:val="ru-RU"/>
              </w:rPr>
              <w:t>солидуса</w:t>
            </w:r>
            <w:r w:rsidRPr="00882AAF">
              <w:rPr>
                <w:rFonts w:eastAsia="Calibri"/>
                <w:sz w:val="24"/>
                <w:lang w:val="ru-RU"/>
              </w:rPr>
              <w:t>; б – начало заполнения зазора первичной жидкой фазой, взаимная диффузия компонентов расплава припоя и основного материала Т</w:t>
            </w:r>
            <w:r w:rsidRPr="00882AAF">
              <w:rPr>
                <w:rFonts w:eastAsia="Calibri"/>
                <w:sz w:val="24"/>
                <w:vertAlign w:val="subscript"/>
                <w:lang w:val="ru-RU"/>
              </w:rPr>
              <w:t>солидуса</w:t>
            </w:r>
            <w:r w:rsidRPr="00882AAF">
              <w:rPr>
                <w:rFonts w:eastAsia="Calibri"/>
                <w:sz w:val="24"/>
                <w:lang w:val="ru-RU"/>
              </w:rPr>
              <w:t>&lt; Т</w:t>
            </w:r>
            <w:r w:rsidRPr="00882AAF">
              <w:rPr>
                <w:rFonts w:eastAsia="Calibri"/>
                <w:sz w:val="24"/>
                <w:vertAlign w:val="subscript"/>
                <w:lang w:val="ru-RU"/>
              </w:rPr>
              <w:t>образца</w:t>
            </w:r>
            <w:r w:rsidRPr="00882AAF">
              <w:rPr>
                <w:rFonts w:eastAsia="Calibri"/>
                <w:sz w:val="24"/>
                <w:lang w:val="ru-RU"/>
              </w:rPr>
              <w:t>&lt;Т</w:t>
            </w:r>
            <w:r w:rsidRPr="00882AAF">
              <w:rPr>
                <w:rFonts w:eastAsia="Calibri"/>
                <w:sz w:val="24"/>
                <w:vertAlign w:val="subscript"/>
                <w:lang w:val="ru-RU"/>
              </w:rPr>
              <w:t>ликвидуса</w:t>
            </w:r>
            <w:r w:rsidRPr="00882AAF">
              <w:rPr>
                <w:rFonts w:eastAsia="Calibri"/>
                <w:sz w:val="24"/>
                <w:lang w:val="ru-RU"/>
              </w:rPr>
              <w:t>; в – начало изотермической кристаллизации в результате достижения расплава припоя равновесной концентрации.</w:t>
            </w:r>
          </w:p>
          <w:p w14:paraId="311FCDB3" w14:textId="77777777" w:rsidR="00882AAF" w:rsidRPr="00882AAF" w:rsidRDefault="00882AAF" w:rsidP="001327BF">
            <w:pPr>
              <w:spacing w:before="0" w:after="160" w:line="276" w:lineRule="auto"/>
              <w:ind w:firstLine="0"/>
              <w:jc w:val="center"/>
              <w:rPr>
                <w:rFonts w:eastAsia="Calibri"/>
                <w:sz w:val="24"/>
                <w:lang w:val="ru-RU"/>
              </w:rPr>
            </w:pPr>
            <w:r w:rsidRPr="00882AAF">
              <w:rPr>
                <w:rFonts w:eastAsia="Calibri"/>
                <w:sz w:val="24"/>
                <w:lang w:val="ru-RU"/>
              </w:rPr>
              <w:t>Рисунок 3.6 – Механизм заполнения неравномерного зазора расплавом припоя</w:t>
            </w:r>
          </w:p>
        </w:tc>
      </w:tr>
    </w:tbl>
    <w:p w14:paraId="58824913" w14:textId="77777777" w:rsidR="00882AAF" w:rsidRPr="00882AAF" w:rsidRDefault="00882AAF" w:rsidP="00882AAF">
      <w:pPr>
        <w:spacing w:before="0" w:after="160" w:line="360" w:lineRule="auto"/>
        <w:ind w:firstLine="709"/>
        <w:rPr>
          <w:rFonts w:eastAsia="Calibri"/>
          <w:szCs w:val="22"/>
          <w:lang w:val="ru-RU"/>
        </w:rPr>
      </w:pPr>
      <w:r w:rsidRPr="00882AAF">
        <w:rPr>
          <w:rFonts w:eastAsia="Calibri"/>
          <w:szCs w:val="22"/>
          <w:lang w:val="ru-RU"/>
        </w:rPr>
        <w:t>После замеров заполнения расплавом припоя переменных вертикальной зазоров было проведено металлографическое исследование структуры паяных соединений образцов. Для исследования были выбраны сечения с самым большим различием кривой заполнения образцы паяные при температуре 1040 °С разным количеством припоя.</w:t>
      </w:r>
    </w:p>
    <w:p w14:paraId="193A38B8" w14:textId="77777777" w:rsidR="00882AAF" w:rsidRDefault="00882AAF" w:rsidP="00882AAF">
      <w:pPr>
        <w:spacing w:before="0" w:after="0" w:line="360" w:lineRule="auto"/>
        <w:ind w:firstLine="567"/>
        <w:rPr>
          <w:rFonts w:eastAsia="Calibri"/>
          <w:szCs w:val="28"/>
          <w:lang w:val="ru-RU"/>
        </w:rPr>
      </w:pPr>
      <w:r w:rsidRPr="00882AAF">
        <w:rPr>
          <w:rFonts w:eastAsia="Calibri"/>
          <w:szCs w:val="28"/>
          <w:lang w:val="ru-RU"/>
        </w:rPr>
        <w:t xml:space="preserve">По результатам металлографического исследования видно, что в процессе заполнения зазора легкоплавкая фаза взаимодействует с основным материалом снижая количество бора в припое, тем самым повышая его температуру плавления. При этом вероятно происходит изотермическая кристаллизация припоя в паяном соединении и выпадение первичных дендритов (рисунок </w:t>
      </w:r>
      <w:r w:rsidR="001327BF">
        <w:rPr>
          <w:rFonts w:eastAsia="Calibri"/>
          <w:szCs w:val="28"/>
          <w:lang w:val="ru-RU"/>
        </w:rPr>
        <w:t>5</w:t>
      </w:r>
      <w:r w:rsidRPr="00882AAF">
        <w:rPr>
          <w:rFonts w:eastAsia="Calibri"/>
          <w:szCs w:val="28"/>
          <w:lang w:val="ru-RU"/>
        </w:rPr>
        <w:t>), которые уменьшают величину зазора и повышают вязкость расплава.</w:t>
      </w:r>
    </w:p>
    <w:p w14:paraId="699EA403" w14:textId="77777777" w:rsidR="001327BF" w:rsidRPr="00882AAF" w:rsidRDefault="001327BF" w:rsidP="00882AAF">
      <w:pPr>
        <w:spacing w:before="0" w:after="0" w:line="360" w:lineRule="auto"/>
        <w:ind w:firstLine="567"/>
        <w:rPr>
          <w:rFonts w:eastAsia="Calibri"/>
          <w:szCs w:val="28"/>
          <w:lang w:val="ru-RU"/>
        </w:rPr>
      </w:pPr>
      <w:r w:rsidRPr="00882AAF">
        <w:rPr>
          <w:rFonts w:eastAsia="Calibri"/>
          <w:szCs w:val="28"/>
          <w:lang w:val="ru-RU"/>
        </w:rPr>
        <w:t xml:space="preserve">В случае, когда количество жидкой фазы ограничено процесс заполнения зазора останавливается и кривая заполнения клиновидного зазора практически не отличается от классической и структура паяного соединения в этом случае более однородной по содержанию кремния (рисунок </w:t>
      </w:r>
      <w:r>
        <w:rPr>
          <w:rFonts w:eastAsia="Calibri"/>
          <w:szCs w:val="28"/>
          <w:lang w:val="ru-RU"/>
        </w:rPr>
        <w:t>6</w:t>
      </w:r>
      <w:r w:rsidRPr="00882AAF">
        <w:rPr>
          <w:rFonts w:eastAsia="Calibri"/>
          <w:szCs w:val="28"/>
          <w:lang w:val="ru-RU"/>
        </w:rPr>
        <w:t xml:space="preserve">). Однако в случае избытка жидкой фазы питающий расплав снизу происходит дальнейшее заполнение паяльного зазора жидкой фазой обогащенной кремнием каркасу </w:t>
      </w:r>
      <w:r w:rsidRPr="00882AAF">
        <w:rPr>
          <w:rFonts w:eastAsia="Calibri"/>
          <w:szCs w:val="28"/>
          <w:lang w:val="ru-RU"/>
        </w:rPr>
        <w:lastRenderedPageBreak/>
        <w:t>первичных дендритов, который служит своего рода капилляром и тем самым заполняя зазор все большим количеством припоя.</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2"/>
      </w:tblGrid>
      <w:tr w:rsidR="001327BF" w:rsidRPr="00882AAF" w14:paraId="2234329D" w14:textId="77777777" w:rsidTr="000A50C8">
        <w:tc>
          <w:tcPr>
            <w:tcW w:w="4812" w:type="dxa"/>
          </w:tcPr>
          <w:p w14:paraId="0606F7A3" w14:textId="77777777" w:rsidR="00882AAF" w:rsidRPr="00882AAF" w:rsidRDefault="00882AAF" w:rsidP="00CD5D94">
            <w:pPr>
              <w:spacing w:before="0" w:after="160" w:line="360" w:lineRule="auto"/>
              <w:ind w:firstLine="709"/>
              <w:jc w:val="center"/>
              <w:rPr>
                <w:rFonts w:eastAsia="Calibri"/>
                <w:szCs w:val="28"/>
                <w:lang w:val="ru-RU"/>
              </w:rPr>
            </w:pPr>
            <w:r w:rsidRPr="00882AAF">
              <w:rPr>
                <w:rFonts w:eastAsia="Calibri"/>
                <w:noProof/>
                <w:szCs w:val="22"/>
                <w:lang w:val="ru-RU" w:eastAsia="ru-RU"/>
              </w:rPr>
              <w:drawing>
                <wp:inline distT="0" distB="0" distL="0" distR="0" wp14:anchorId="4845928B" wp14:editId="3013C36D">
                  <wp:extent cx="2299970" cy="1987962"/>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252" cy="2049574"/>
                          </a:xfrm>
                          <a:prstGeom prst="rect">
                            <a:avLst/>
                          </a:prstGeom>
                          <a:noFill/>
                          <a:ln>
                            <a:noFill/>
                          </a:ln>
                        </pic:spPr>
                      </pic:pic>
                    </a:graphicData>
                  </a:graphic>
                </wp:inline>
              </w:drawing>
            </w:r>
          </w:p>
        </w:tc>
        <w:tc>
          <w:tcPr>
            <w:tcW w:w="4816" w:type="dxa"/>
          </w:tcPr>
          <w:p w14:paraId="5456D4F2" w14:textId="77777777" w:rsidR="00882AAF" w:rsidRPr="00882AAF" w:rsidRDefault="00882AAF" w:rsidP="00CD5D94">
            <w:pPr>
              <w:spacing w:before="0" w:after="160" w:line="360" w:lineRule="auto"/>
              <w:ind w:firstLine="709"/>
              <w:jc w:val="center"/>
              <w:rPr>
                <w:rFonts w:eastAsia="Calibri"/>
                <w:szCs w:val="28"/>
                <w:lang w:val="ru-RU"/>
              </w:rPr>
            </w:pPr>
            <w:r w:rsidRPr="00882AAF">
              <w:rPr>
                <w:rFonts w:eastAsia="Calibri"/>
                <w:noProof/>
                <w:szCs w:val="22"/>
                <w:lang w:val="ru-RU" w:eastAsia="ru-RU"/>
              </w:rPr>
              <w:drawing>
                <wp:inline distT="0" distB="0" distL="0" distR="0" wp14:anchorId="013CF9C7" wp14:editId="1B46FE38">
                  <wp:extent cx="2307646" cy="2065821"/>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8960" cy="2093853"/>
                          </a:xfrm>
                          <a:prstGeom prst="rect">
                            <a:avLst/>
                          </a:prstGeom>
                          <a:noFill/>
                          <a:ln>
                            <a:noFill/>
                          </a:ln>
                        </pic:spPr>
                      </pic:pic>
                    </a:graphicData>
                  </a:graphic>
                </wp:inline>
              </w:drawing>
            </w:r>
          </w:p>
        </w:tc>
      </w:tr>
      <w:tr w:rsidR="00882AAF" w:rsidRPr="005C4B0B" w14:paraId="0D909BD0" w14:textId="77777777" w:rsidTr="000A50C8">
        <w:tc>
          <w:tcPr>
            <w:tcW w:w="9628" w:type="dxa"/>
            <w:gridSpan w:val="2"/>
          </w:tcPr>
          <w:p w14:paraId="47867DB0" w14:textId="77777777" w:rsidR="00882AAF" w:rsidRPr="00882AAF" w:rsidRDefault="00882AAF" w:rsidP="001327BF">
            <w:pPr>
              <w:spacing w:before="0" w:after="160" w:line="360" w:lineRule="auto"/>
              <w:ind w:firstLine="709"/>
              <w:jc w:val="center"/>
              <w:rPr>
                <w:rFonts w:eastAsia="Calibri"/>
                <w:szCs w:val="28"/>
                <w:lang w:val="ru-RU"/>
              </w:rPr>
            </w:pPr>
            <w:r w:rsidRPr="00882AAF">
              <w:rPr>
                <w:rFonts w:eastAsia="Calibri"/>
                <w:szCs w:val="28"/>
                <w:lang w:val="ru-RU"/>
              </w:rPr>
              <w:t xml:space="preserve">Рисунок </w:t>
            </w:r>
            <w:r w:rsidR="001327BF">
              <w:rPr>
                <w:rFonts w:eastAsia="Calibri"/>
                <w:szCs w:val="28"/>
                <w:lang w:val="ru-RU"/>
              </w:rPr>
              <w:t>5</w:t>
            </w:r>
            <w:r w:rsidRPr="00882AAF">
              <w:rPr>
                <w:rFonts w:eastAsia="Calibri"/>
                <w:szCs w:val="28"/>
                <w:lang w:val="ru-RU"/>
              </w:rPr>
              <w:t xml:space="preserve"> – Микроструктура паяного шва при пайке припоем        ВПр11-40Н в количестве 10 гр.</w:t>
            </w:r>
          </w:p>
        </w:tc>
      </w:tr>
    </w:tbl>
    <w:p w14:paraId="7FB629FD" w14:textId="77777777" w:rsidR="00882AAF" w:rsidRPr="00882AAF" w:rsidRDefault="00882AAF" w:rsidP="00882AAF">
      <w:pPr>
        <w:spacing w:before="0" w:after="0" w:line="360" w:lineRule="auto"/>
        <w:ind w:firstLine="567"/>
        <w:rPr>
          <w:rFonts w:eastAsia="Calibri"/>
          <w:szCs w:val="28"/>
          <w:lang w:val="ru-RU"/>
        </w:rPr>
      </w:pPr>
    </w:p>
    <w:p w14:paraId="0A75CE4B" w14:textId="77777777" w:rsidR="00882AAF" w:rsidRPr="00882AAF" w:rsidRDefault="00882AAF" w:rsidP="00882AAF">
      <w:pPr>
        <w:spacing w:before="0" w:after="0" w:line="360" w:lineRule="auto"/>
        <w:ind w:firstLine="567"/>
        <w:rPr>
          <w:rFonts w:eastAsia="Calibri"/>
          <w:szCs w:val="28"/>
          <w:lang w:val="ru-RU"/>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0"/>
        <w:gridCol w:w="4615"/>
      </w:tblGrid>
      <w:tr w:rsidR="001327BF" w:rsidRPr="00882AAF" w14:paraId="00E87CF1" w14:textId="77777777" w:rsidTr="000A50C8">
        <w:tc>
          <w:tcPr>
            <w:tcW w:w="4814" w:type="dxa"/>
          </w:tcPr>
          <w:p w14:paraId="6477BEA1" w14:textId="77777777" w:rsidR="00882AAF" w:rsidRPr="00882AAF" w:rsidRDefault="00882AAF" w:rsidP="00882AAF">
            <w:pPr>
              <w:spacing w:before="0" w:after="160" w:line="360" w:lineRule="auto"/>
              <w:ind w:firstLine="709"/>
              <w:rPr>
                <w:rFonts w:eastAsia="Calibri"/>
                <w:szCs w:val="28"/>
                <w:lang w:val="ru-RU"/>
              </w:rPr>
            </w:pPr>
            <w:r w:rsidRPr="00882AAF">
              <w:rPr>
                <w:rFonts w:eastAsia="Calibri"/>
                <w:noProof/>
                <w:szCs w:val="22"/>
                <w:lang w:val="ru-RU" w:eastAsia="ru-RU"/>
              </w:rPr>
              <w:drawing>
                <wp:inline distT="0" distB="0" distL="0" distR="0" wp14:anchorId="0D93634B" wp14:editId="6A54F505">
                  <wp:extent cx="2501592" cy="2162235"/>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3366" cy="2172411"/>
                          </a:xfrm>
                          <a:prstGeom prst="rect">
                            <a:avLst/>
                          </a:prstGeom>
                          <a:noFill/>
                          <a:ln>
                            <a:noFill/>
                          </a:ln>
                        </pic:spPr>
                      </pic:pic>
                    </a:graphicData>
                  </a:graphic>
                </wp:inline>
              </w:drawing>
            </w:r>
          </w:p>
        </w:tc>
        <w:tc>
          <w:tcPr>
            <w:tcW w:w="4814" w:type="dxa"/>
          </w:tcPr>
          <w:p w14:paraId="60D906D8" w14:textId="77777777" w:rsidR="00882AAF" w:rsidRPr="00882AAF" w:rsidRDefault="00882AAF" w:rsidP="00882AAF">
            <w:pPr>
              <w:spacing w:before="0" w:after="160" w:line="360" w:lineRule="auto"/>
              <w:ind w:firstLine="709"/>
              <w:rPr>
                <w:rFonts w:eastAsia="Calibri"/>
                <w:szCs w:val="28"/>
                <w:lang w:val="ru-RU"/>
              </w:rPr>
            </w:pPr>
            <w:r w:rsidRPr="00882AAF">
              <w:rPr>
                <w:rFonts w:eastAsia="Calibri"/>
                <w:noProof/>
                <w:szCs w:val="22"/>
                <w:lang w:val="ru-RU" w:eastAsia="ru-RU"/>
              </w:rPr>
              <w:drawing>
                <wp:inline distT="0" distB="0" distL="0" distR="0" wp14:anchorId="5848AEEC" wp14:editId="776B7DAE">
                  <wp:extent cx="2420453" cy="2166805"/>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7197" cy="2217603"/>
                          </a:xfrm>
                          <a:prstGeom prst="rect">
                            <a:avLst/>
                          </a:prstGeom>
                          <a:noFill/>
                          <a:ln>
                            <a:noFill/>
                          </a:ln>
                        </pic:spPr>
                      </pic:pic>
                    </a:graphicData>
                  </a:graphic>
                </wp:inline>
              </w:drawing>
            </w:r>
          </w:p>
        </w:tc>
      </w:tr>
      <w:tr w:rsidR="00882AAF" w:rsidRPr="005C4B0B" w14:paraId="16D71EE3" w14:textId="77777777" w:rsidTr="000A50C8">
        <w:tc>
          <w:tcPr>
            <w:tcW w:w="9628" w:type="dxa"/>
            <w:gridSpan w:val="2"/>
          </w:tcPr>
          <w:p w14:paraId="720DCF50" w14:textId="77777777" w:rsidR="00882AAF" w:rsidRPr="00882AAF" w:rsidRDefault="00882AAF" w:rsidP="001327BF">
            <w:pPr>
              <w:spacing w:before="0" w:after="160" w:line="360" w:lineRule="auto"/>
              <w:ind w:firstLine="709"/>
              <w:jc w:val="center"/>
              <w:rPr>
                <w:rFonts w:eastAsia="Calibri"/>
                <w:szCs w:val="28"/>
                <w:lang w:val="ru-RU"/>
              </w:rPr>
            </w:pPr>
            <w:r w:rsidRPr="00882AAF">
              <w:rPr>
                <w:rFonts w:eastAsia="Calibri"/>
                <w:szCs w:val="28"/>
                <w:lang w:val="ru-RU"/>
              </w:rPr>
              <w:t>Рисунок</w:t>
            </w:r>
            <w:r w:rsidR="001327BF">
              <w:rPr>
                <w:rFonts w:eastAsia="Calibri"/>
                <w:szCs w:val="28"/>
                <w:lang w:val="ru-RU"/>
              </w:rPr>
              <w:t xml:space="preserve"> 6</w:t>
            </w:r>
            <w:r w:rsidRPr="00882AAF">
              <w:rPr>
                <w:rFonts w:eastAsia="Calibri"/>
                <w:szCs w:val="28"/>
                <w:lang w:val="ru-RU"/>
              </w:rPr>
              <w:t>– Микроструктура паяного соединения при пайке припоем ВПр11-40Н в количестве 5 гр.</w:t>
            </w:r>
          </w:p>
        </w:tc>
      </w:tr>
    </w:tbl>
    <w:p w14:paraId="55C89BFE" w14:textId="2EE8B2CE" w:rsidR="005C4B0B" w:rsidRDefault="005C4B0B" w:rsidP="00882AAF">
      <w:pPr>
        <w:spacing w:before="0" w:after="0" w:line="360" w:lineRule="auto"/>
        <w:ind w:firstLine="567"/>
        <w:rPr>
          <w:rFonts w:eastAsia="Calibri"/>
          <w:b/>
          <w:szCs w:val="28"/>
          <w:lang w:val="ru-RU"/>
        </w:rPr>
      </w:pPr>
    </w:p>
    <w:p w14:paraId="30205D82" w14:textId="77777777" w:rsidR="005C4B0B" w:rsidRDefault="005C4B0B">
      <w:pPr>
        <w:spacing w:before="0" w:after="200" w:line="276" w:lineRule="auto"/>
        <w:ind w:firstLine="0"/>
        <w:jc w:val="left"/>
        <w:rPr>
          <w:rFonts w:eastAsia="Calibri"/>
          <w:b/>
          <w:szCs w:val="28"/>
          <w:lang w:val="ru-RU"/>
        </w:rPr>
      </w:pPr>
      <w:r>
        <w:rPr>
          <w:rFonts w:eastAsia="Calibri"/>
          <w:b/>
          <w:szCs w:val="28"/>
          <w:lang w:val="ru-RU"/>
        </w:rPr>
        <w:br w:type="page"/>
      </w:r>
    </w:p>
    <w:p w14:paraId="64B00171" w14:textId="77777777" w:rsidR="005C4B0B" w:rsidRDefault="005C4B0B" w:rsidP="005C4B0B">
      <w:pPr>
        <w:ind w:firstLine="0"/>
        <w:jc w:val="center"/>
      </w:pPr>
      <w:proofErr w:type="spellStart"/>
      <w:r>
        <w:lastRenderedPageBreak/>
        <w:t>Литература</w:t>
      </w:r>
      <w:proofErr w:type="spellEnd"/>
    </w:p>
    <w:p w14:paraId="4F343540" w14:textId="77777777" w:rsidR="005C4B0B" w:rsidRPr="000C6EBB" w:rsidRDefault="005C4B0B" w:rsidP="005C4B0B">
      <w:pPr>
        <w:pStyle w:val="a"/>
        <w:numPr>
          <w:ilvl w:val="0"/>
          <w:numId w:val="2"/>
        </w:numPr>
        <w:ind w:left="0" w:firstLine="0"/>
        <w:rPr>
          <w:lang w:val="en-US"/>
        </w:rPr>
      </w:pPr>
      <w:r w:rsidRPr="000C6EBB">
        <w:rPr>
          <w:lang w:val="en-US"/>
        </w:rPr>
        <w:t xml:space="preserve">Michael Graham. Braze Powder Characteristics and Their Effect on Brazing </w:t>
      </w:r>
      <w:r w:rsidRPr="000C6EBB">
        <w:rPr>
          <w:iCs/>
          <w:lang w:val="en-US"/>
        </w:rPr>
        <w:t>//</w:t>
      </w:r>
      <w:r w:rsidRPr="000C6EBB">
        <w:rPr>
          <w:lang w:val="en-US"/>
        </w:rPr>
        <w:t xml:space="preserve"> IBSC - 2018</w:t>
      </w:r>
    </w:p>
    <w:p w14:paraId="20EBB2FE" w14:textId="77777777" w:rsidR="005C4B0B" w:rsidRPr="000C6EBB" w:rsidRDefault="005C4B0B" w:rsidP="005C4B0B">
      <w:pPr>
        <w:pStyle w:val="a"/>
        <w:numPr>
          <w:ilvl w:val="0"/>
          <w:numId w:val="2"/>
        </w:numPr>
        <w:ind w:left="0" w:firstLine="0"/>
      </w:pPr>
      <w:proofErr w:type="spellStart"/>
      <w:r w:rsidRPr="000C6EBB">
        <w:t>Оспенникова</w:t>
      </w:r>
      <w:proofErr w:type="spellEnd"/>
      <w:r w:rsidRPr="000C6EBB">
        <w:t xml:space="preserve"> О.Г., Лукин В.И., Афанасьев-Ходыкин А.Н., Галушка И.А., Шевченко О.В. Перспективные разработки в области высокотемпературной пайки жаропрочных сплавов</w:t>
      </w:r>
      <w:r>
        <w:t xml:space="preserve"> </w:t>
      </w:r>
      <w:r>
        <w:rPr>
          <w:iCs/>
        </w:rPr>
        <w:t>//</w:t>
      </w:r>
      <w:r w:rsidRPr="000C6EBB">
        <w:t xml:space="preserve"> Авиационные материалы и технологии. – Москва, 2017 №1. С. 144-158</w:t>
      </w:r>
    </w:p>
    <w:p w14:paraId="0D3E6C7B" w14:textId="77777777" w:rsidR="005C4B0B" w:rsidRPr="000C6EBB" w:rsidRDefault="005C4B0B" w:rsidP="005C4B0B">
      <w:pPr>
        <w:pStyle w:val="a"/>
        <w:numPr>
          <w:ilvl w:val="0"/>
          <w:numId w:val="2"/>
        </w:numPr>
        <w:ind w:left="0" w:firstLine="0"/>
      </w:pPr>
      <w:r w:rsidRPr="000C6EBB">
        <w:t>Морозов В.А., Пашков И.Н., Использование пластифицированных припоев при пайке сотовых уплотнен</w:t>
      </w:r>
      <w:r>
        <w:t xml:space="preserve">ий </w:t>
      </w:r>
      <w:r>
        <w:rPr>
          <w:iCs/>
        </w:rPr>
        <w:t>//</w:t>
      </w:r>
      <w:r w:rsidRPr="000C6EBB">
        <w:t xml:space="preserve"> Сборник тезисов XIV-й международной НТК «Быстрозакаленные материалы и покрытия. – Москва, 2016. С. 305-308.</w:t>
      </w:r>
    </w:p>
    <w:p w14:paraId="2ED4529F" w14:textId="77777777" w:rsidR="005C4B0B" w:rsidRPr="000C6EBB" w:rsidRDefault="005C4B0B" w:rsidP="005C4B0B">
      <w:pPr>
        <w:pStyle w:val="a"/>
        <w:numPr>
          <w:ilvl w:val="0"/>
          <w:numId w:val="2"/>
        </w:numPr>
        <w:ind w:left="0" w:firstLine="0"/>
        <w:rPr>
          <w:lang w:val="en-US"/>
        </w:rPr>
      </w:pPr>
      <w:r w:rsidRPr="000C6EBB">
        <w:rPr>
          <w:lang w:val="en-US"/>
        </w:rPr>
        <w:t xml:space="preserve">Gourley R., Walker C., Braze Material for Brazing Seal Honeycomb Trends, Challenges and a Market Outlook // Proceedings of the 5th International Brazing and Soldering Conference. April 22-25, 2012. </w:t>
      </w:r>
      <w:proofErr w:type="spellStart"/>
      <w:r w:rsidRPr="000C6EBB">
        <w:rPr>
          <w:lang w:val="en-US"/>
        </w:rPr>
        <w:t>pg</w:t>
      </w:r>
      <w:proofErr w:type="spellEnd"/>
      <w:r w:rsidRPr="000C6EBB">
        <w:rPr>
          <w:lang w:val="en-US"/>
        </w:rPr>
        <w:t xml:space="preserve"> 51-58.</w:t>
      </w:r>
    </w:p>
    <w:p w14:paraId="2272707C" w14:textId="77777777" w:rsidR="005C4B0B" w:rsidRPr="000C6EBB" w:rsidRDefault="005C4B0B" w:rsidP="005C4B0B">
      <w:pPr>
        <w:pStyle w:val="a"/>
        <w:numPr>
          <w:ilvl w:val="0"/>
          <w:numId w:val="2"/>
        </w:numPr>
        <w:ind w:left="0" w:firstLine="0"/>
      </w:pPr>
      <w:r w:rsidRPr="000C6EBB">
        <w:t xml:space="preserve">Пашков И.Н., Мисников В.Е., Морозов В.А. </w:t>
      </w:r>
      <w:proofErr w:type="spellStart"/>
      <w:r w:rsidRPr="000C6EBB">
        <w:t>Таволжанский</w:t>
      </w:r>
      <w:proofErr w:type="spellEnd"/>
      <w:r w:rsidRPr="000C6EBB">
        <w:t xml:space="preserve"> С.А., Индукционная пайка твердосплавных резцов горного инструмент</w:t>
      </w:r>
      <w:r>
        <w:t xml:space="preserve">а. Выбор состава и формы припоя </w:t>
      </w:r>
      <w:r>
        <w:rPr>
          <w:iCs/>
        </w:rPr>
        <w:t>//</w:t>
      </w:r>
      <w:r w:rsidRPr="000C6EBB">
        <w:t xml:space="preserve"> Сварочное производство. – Москва 2020 №8. С. 20-28.</w:t>
      </w:r>
    </w:p>
    <w:p w14:paraId="1B520CE8" w14:textId="77777777" w:rsidR="005C4B0B" w:rsidRPr="000C6EBB" w:rsidRDefault="005C4B0B" w:rsidP="005C4B0B">
      <w:pPr>
        <w:pStyle w:val="a"/>
        <w:numPr>
          <w:ilvl w:val="0"/>
          <w:numId w:val="2"/>
        </w:numPr>
        <w:ind w:left="0" w:firstLine="0"/>
      </w:pPr>
      <w:r w:rsidRPr="000C6EBB">
        <w:t>Федорченко И.М., Андриевский Р.А. Основы порошковой металлургии. – Киев, 1963. С. 122-125.</w:t>
      </w:r>
    </w:p>
    <w:p w14:paraId="35C5DB2D" w14:textId="77777777" w:rsidR="005C4B0B" w:rsidRPr="00B201FC" w:rsidRDefault="005C4B0B" w:rsidP="005C4B0B">
      <w:pPr>
        <w:rPr>
          <w:lang w:val="ru-RU"/>
        </w:rPr>
      </w:pPr>
    </w:p>
    <w:p w14:paraId="105884BB" w14:textId="77777777" w:rsidR="00882AAF" w:rsidRPr="00882AAF" w:rsidRDefault="00882AAF" w:rsidP="00882AAF">
      <w:pPr>
        <w:spacing w:before="0" w:after="0" w:line="360" w:lineRule="auto"/>
        <w:ind w:firstLine="567"/>
        <w:rPr>
          <w:rFonts w:eastAsia="Calibri"/>
          <w:b/>
          <w:szCs w:val="28"/>
          <w:lang w:val="ru-RU"/>
        </w:rPr>
      </w:pPr>
    </w:p>
    <w:sectPr w:rsidR="00882AAF" w:rsidRPr="00882AAF" w:rsidSect="00691EB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82A6E"/>
    <w:multiLevelType w:val="hybridMultilevel"/>
    <w:tmpl w:val="67BC0E5E"/>
    <w:lvl w:ilvl="0" w:tplc="A9582242">
      <w:start w:val="1"/>
      <w:numFmt w:val="decimal"/>
      <w:pStyle w:val="a"/>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1801743"/>
    <w:multiLevelType w:val="hybridMultilevel"/>
    <w:tmpl w:val="3BCC8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1FC"/>
    <w:rsid w:val="001327BF"/>
    <w:rsid w:val="001733CB"/>
    <w:rsid w:val="005C4B0B"/>
    <w:rsid w:val="00691EB5"/>
    <w:rsid w:val="00723A6F"/>
    <w:rsid w:val="007435B8"/>
    <w:rsid w:val="00882AAF"/>
    <w:rsid w:val="008D0540"/>
    <w:rsid w:val="009C1C5A"/>
    <w:rsid w:val="00B201FC"/>
    <w:rsid w:val="00CD5D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1B462"/>
  <w15:docId w15:val="{7A78853E-E322-4300-BE5E-56DB975A3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201FC"/>
    <w:pPr>
      <w:spacing w:before="120" w:after="120" w:line="312" w:lineRule="auto"/>
      <w:ind w:firstLine="720"/>
      <w:jc w:val="both"/>
    </w:pPr>
    <w:rPr>
      <w:rFonts w:ascii="Times New Roman" w:eastAsia="Times New Roman" w:hAnsi="Times New Roman" w:cs="Times New Roman"/>
      <w:sz w:val="28"/>
      <w:szCs w:val="24"/>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Аглав_Ст"/>
    <w:basedOn w:val="a0"/>
    <w:link w:val="a5"/>
    <w:qFormat/>
    <w:rsid w:val="00B201FC"/>
    <w:pPr>
      <w:suppressAutoHyphens/>
      <w:spacing w:before="0" w:after="0" w:line="276" w:lineRule="auto"/>
      <w:ind w:firstLine="0"/>
      <w:jc w:val="center"/>
    </w:pPr>
    <w:rPr>
      <w:b/>
      <w:caps/>
      <w:szCs w:val="28"/>
      <w:lang w:eastAsia="ar-SA"/>
    </w:rPr>
  </w:style>
  <w:style w:type="character" w:customStyle="1" w:styleId="a5">
    <w:name w:val="Аглав_Ст Знак"/>
    <w:link w:val="a4"/>
    <w:rsid w:val="00B201FC"/>
    <w:rPr>
      <w:rFonts w:ascii="Times New Roman" w:eastAsia="Times New Roman" w:hAnsi="Times New Roman" w:cs="Times New Roman"/>
      <w:b/>
      <w:caps/>
      <w:sz w:val="28"/>
      <w:szCs w:val="28"/>
      <w:lang w:eastAsia="ar-SA"/>
    </w:rPr>
  </w:style>
  <w:style w:type="paragraph" w:customStyle="1" w:styleId="A6">
    <w:name w:val="A_таблица"/>
    <w:basedOn w:val="a0"/>
    <w:link w:val="A7"/>
    <w:qFormat/>
    <w:rsid w:val="00B201FC"/>
    <w:pPr>
      <w:spacing w:before="0" w:after="0"/>
      <w:ind w:firstLine="0"/>
      <w:jc w:val="center"/>
    </w:pPr>
    <w:rPr>
      <w:rFonts w:eastAsia="Calibri"/>
      <w:color w:val="000000"/>
      <w:sz w:val="26"/>
      <w:szCs w:val="28"/>
    </w:rPr>
  </w:style>
  <w:style w:type="character" w:customStyle="1" w:styleId="A7">
    <w:name w:val="A_таблица Знак"/>
    <w:link w:val="A6"/>
    <w:rsid w:val="00B201FC"/>
    <w:rPr>
      <w:rFonts w:ascii="Times New Roman" w:eastAsia="Calibri" w:hAnsi="Times New Roman" w:cs="Times New Roman"/>
      <w:color w:val="000000"/>
      <w:sz w:val="26"/>
      <w:szCs w:val="28"/>
      <w:lang w:val="en-US"/>
    </w:rPr>
  </w:style>
  <w:style w:type="table" w:styleId="a8">
    <w:name w:val="Table Grid"/>
    <w:basedOn w:val="a2"/>
    <w:uiPriority w:val="59"/>
    <w:rsid w:val="00B201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1"/>
    <w:rsid w:val="00B201FC"/>
    <w:rPr>
      <w:color w:val="0000FF"/>
      <w:u w:val="single"/>
    </w:rPr>
  </w:style>
  <w:style w:type="paragraph" w:customStyle="1" w:styleId="a">
    <w:name w:val="А_литер_спис"/>
    <w:basedOn w:val="a0"/>
    <w:link w:val="aa"/>
    <w:qFormat/>
    <w:rsid w:val="00B201FC"/>
    <w:pPr>
      <w:numPr>
        <w:numId w:val="1"/>
      </w:numPr>
      <w:tabs>
        <w:tab w:val="left" w:pos="284"/>
      </w:tabs>
      <w:spacing w:before="0" w:after="0" w:line="276" w:lineRule="auto"/>
      <w:ind w:left="0" w:firstLine="0"/>
    </w:pPr>
    <w:rPr>
      <w:szCs w:val="28"/>
      <w:lang w:val="ru-RU"/>
    </w:rPr>
  </w:style>
  <w:style w:type="character" w:customStyle="1" w:styleId="aa">
    <w:name w:val="А_литер_спис Знак"/>
    <w:basedOn w:val="a1"/>
    <w:link w:val="a"/>
    <w:rsid w:val="00B201FC"/>
    <w:rPr>
      <w:rFonts w:ascii="Times New Roman" w:eastAsia="Times New Roman" w:hAnsi="Times New Roman" w:cs="Times New Roman"/>
      <w:sz w:val="28"/>
      <w:szCs w:val="28"/>
    </w:rPr>
  </w:style>
  <w:style w:type="paragraph" w:styleId="ab">
    <w:name w:val="Balloon Text"/>
    <w:basedOn w:val="a0"/>
    <w:link w:val="ac"/>
    <w:uiPriority w:val="99"/>
    <w:semiHidden/>
    <w:unhideWhenUsed/>
    <w:rsid w:val="00B201FC"/>
    <w:pPr>
      <w:spacing w:before="0"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B201FC"/>
    <w:rPr>
      <w:rFonts w:ascii="Tahoma" w:eastAsia="Times New Roman" w:hAnsi="Tahoma" w:cs="Tahoma"/>
      <w:sz w:val="16"/>
      <w:szCs w:val="16"/>
      <w:lang w:val="en-US"/>
    </w:rPr>
  </w:style>
  <w:style w:type="table" w:customStyle="1" w:styleId="1">
    <w:name w:val="Сетка таблицы1"/>
    <w:basedOn w:val="a2"/>
    <w:next w:val="a8"/>
    <w:uiPriority w:val="39"/>
    <w:rsid w:val="00882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mailto:itc-mati@mail.ru"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1042;&#1103;&#1095;&#1077;&#1089;&#1083;&#1072;&#1074;\Documents\&#1044;&#1048;&#1057;&#1057;&#1045;&#1056;&#1058;&#1040;&#1062;&#1048;&#1071;\&#1047;&#1072;&#1087;&#1086;&#1083;&#1085;&#1077;&#1085;&#1080;&#1077;%20&#1079;&#1072;&#1079;&#1086;&#1088;&#1072;\&#1056;&#1077;&#1079;&#1091;&#1083;&#1100;&#1090;&#1072;&#1090;&#1099;%20&#1079;&#1072;&#1084;&#1077;&#1088;&#1086;&#107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1"/>
          <c:tx>
            <c:strRef>
              <c:f>Т1090!$A$3</c:f>
              <c:strCache>
                <c:ptCount val="1"/>
                <c:pt idx="0">
                  <c:v> Масса припоя: 10 гр. Т=1090 С</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errBars>
            <c:errDir val="y"/>
            <c:errBarType val="both"/>
            <c:errValType val="stdErr"/>
            <c:noEndCap val="0"/>
            <c:spPr>
              <a:noFill/>
              <a:ln w="9525" cap="flat" cmpd="sng" algn="ctr">
                <a:solidFill>
                  <a:schemeClr val="tx1">
                    <a:lumMod val="65000"/>
                    <a:lumOff val="35000"/>
                  </a:schemeClr>
                </a:solidFill>
                <a:round/>
              </a:ln>
              <a:effectLst/>
            </c:spPr>
          </c:errBars>
          <c:cat>
            <c:numRef>
              <c:f>Т1090!$B$2:$H$2</c:f>
              <c:numCache>
                <c:formatCode>General</c:formatCode>
                <c:ptCount val="6"/>
                <c:pt idx="0">
                  <c:v>0.3</c:v>
                </c:pt>
                <c:pt idx="1">
                  <c:v>0.5</c:v>
                </c:pt>
                <c:pt idx="2">
                  <c:v>0.7</c:v>
                </c:pt>
                <c:pt idx="3">
                  <c:v>0.85</c:v>
                </c:pt>
                <c:pt idx="4">
                  <c:v>1</c:v>
                </c:pt>
                <c:pt idx="5">
                  <c:v>1.5</c:v>
                </c:pt>
              </c:numCache>
              <c:extLst/>
            </c:numRef>
          </c:cat>
          <c:val>
            <c:numRef>
              <c:f>Т1090!$B$3:$H$3</c:f>
              <c:numCache>
                <c:formatCode>General</c:formatCode>
                <c:ptCount val="6"/>
                <c:pt idx="0">
                  <c:v>35</c:v>
                </c:pt>
                <c:pt idx="1">
                  <c:v>34.270000000000003</c:v>
                </c:pt>
                <c:pt idx="2">
                  <c:v>26.52</c:v>
                </c:pt>
                <c:pt idx="3">
                  <c:v>16.39</c:v>
                </c:pt>
                <c:pt idx="4">
                  <c:v>8.14</c:v>
                </c:pt>
                <c:pt idx="5">
                  <c:v>0</c:v>
                </c:pt>
              </c:numCache>
              <c:extLst/>
            </c:numRef>
          </c:val>
          <c:smooth val="1"/>
          <c:extLst>
            <c:ext xmlns:c16="http://schemas.microsoft.com/office/drawing/2014/chart" uri="{C3380CC4-5D6E-409C-BE32-E72D297353CC}">
              <c16:uniqueId val="{00000000-5C18-47C4-8C9D-4667CD55A00C}"/>
            </c:ext>
          </c:extLst>
        </c:ser>
        <c:ser>
          <c:idx val="2"/>
          <c:order val="2"/>
          <c:tx>
            <c:strRef>
              <c:f>Т1090!$A$4</c:f>
              <c:strCache>
                <c:ptCount val="1"/>
                <c:pt idx="0">
                  <c:v> Масса припоя: 5 гр. Т=1090 С</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errBars>
            <c:errDir val="y"/>
            <c:errBarType val="both"/>
            <c:errValType val="stdErr"/>
            <c:noEndCap val="0"/>
            <c:spPr>
              <a:noFill/>
              <a:ln w="9525" cap="flat" cmpd="sng" algn="ctr">
                <a:solidFill>
                  <a:schemeClr val="tx1">
                    <a:lumMod val="65000"/>
                    <a:lumOff val="35000"/>
                  </a:schemeClr>
                </a:solidFill>
                <a:round/>
              </a:ln>
              <a:effectLst/>
            </c:spPr>
          </c:errBars>
          <c:cat>
            <c:numRef>
              <c:f>Т1090!$B$2:$H$2</c:f>
              <c:numCache>
                <c:formatCode>General</c:formatCode>
                <c:ptCount val="6"/>
                <c:pt idx="0">
                  <c:v>0.3</c:v>
                </c:pt>
                <c:pt idx="1">
                  <c:v>0.5</c:v>
                </c:pt>
                <c:pt idx="2">
                  <c:v>0.7</c:v>
                </c:pt>
                <c:pt idx="3">
                  <c:v>0.85</c:v>
                </c:pt>
                <c:pt idx="4">
                  <c:v>1</c:v>
                </c:pt>
                <c:pt idx="5">
                  <c:v>1.5</c:v>
                </c:pt>
              </c:numCache>
              <c:extLst/>
            </c:numRef>
          </c:cat>
          <c:val>
            <c:numRef>
              <c:f>Т1090!$B$4:$H$4</c:f>
              <c:numCache>
                <c:formatCode>General</c:formatCode>
                <c:ptCount val="6"/>
                <c:pt idx="0">
                  <c:v>35</c:v>
                </c:pt>
                <c:pt idx="1">
                  <c:v>34.130000000000003</c:v>
                </c:pt>
                <c:pt idx="2">
                  <c:v>18.559999999999999</c:v>
                </c:pt>
                <c:pt idx="3">
                  <c:v>11</c:v>
                </c:pt>
                <c:pt idx="4">
                  <c:v>6.42</c:v>
                </c:pt>
                <c:pt idx="5">
                  <c:v>0</c:v>
                </c:pt>
              </c:numCache>
              <c:extLst/>
            </c:numRef>
          </c:val>
          <c:smooth val="1"/>
          <c:extLst>
            <c:ext xmlns:c16="http://schemas.microsoft.com/office/drawing/2014/chart" uri="{C3380CC4-5D6E-409C-BE32-E72D297353CC}">
              <c16:uniqueId val="{00000001-5C18-47C4-8C9D-4667CD55A00C}"/>
            </c:ext>
          </c:extLst>
        </c:ser>
        <c:ser>
          <c:idx val="3"/>
          <c:order val="3"/>
          <c:tx>
            <c:strRef>
              <c:f>Т1090!$A$5</c:f>
              <c:strCache>
                <c:ptCount val="1"/>
                <c:pt idx="0">
                  <c:v> Масса припоя: 5 гр. Т=1040 С</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errBars>
            <c:errDir val="y"/>
            <c:errBarType val="both"/>
            <c:errValType val="stdErr"/>
            <c:noEndCap val="0"/>
            <c:spPr>
              <a:noFill/>
              <a:ln w="9525" cap="flat" cmpd="sng" algn="ctr">
                <a:solidFill>
                  <a:schemeClr val="tx1">
                    <a:lumMod val="65000"/>
                    <a:lumOff val="35000"/>
                  </a:schemeClr>
                </a:solidFill>
                <a:round/>
              </a:ln>
              <a:effectLst/>
            </c:spPr>
          </c:errBars>
          <c:cat>
            <c:numRef>
              <c:f>Т1090!$B$2:$H$2</c:f>
              <c:numCache>
                <c:formatCode>General</c:formatCode>
                <c:ptCount val="6"/>
                <c:pt idx="0">
                  <c:v>0.3</c:v>
                </c:pt>
                <c:pt idx="1">
                  <c:v>0.5</c:v>
                </c:pt>
                <c:pt idx="2">
                  <c:v>0.7</c:v>
                </c:pt>
                <c:pt idx="3">
                  <c:v>0.85</c:v>
                </c:pt>
                <c:pt idx="4">
                  <c:v>1</c:v>
                </c:pt>
                <c:pt idx="5">
                  <c:v>1.5</c:v>
                </c:pt>
              </c:numCache>
              <c:extLst/>
            </c:numRef>
          </c:cat>
          <c:val>
            <c:numRef>
              <c:f>Т1090!$B$5:$H$5</c:f>
              <c:numCache>
                <c:formatCode>General</c:formatCode>
                <c:ptCount val="6"/>
                <c:pt idx="0">
                  <c:v>35</c:v>
                </c:pt>
                <c:pt idx="1">
                  <c:v>23.23</c:v>
                </c:pt>
                <c:pt idx="2">
                  <c:v>8.5399999999999991</c:v>
                </c:pt>
                <c:pt idx="3">
                  <c:v>1.85</c:v>
                </c:pt>
                <c:pt idx="4">
                  <c:v>0</c:v>
                </c:pt>
                <c:pt idx="5">
                  <c:v>0</c:v>
                </c:pt>
              </c:numCache>
              <c:extLst/>
            </c:numRef>
          </c:val>
          <c:smooth val="1"/>
          <c:extLst>
            <c:ext xmlns:c16="http://schemas.microsoft.com/office/drawing/2014/chart" uri="{C3380CC4-5D6E-409C-BE32-E72D297353CC}">
              <c16:uniqueId val="{00000002-5C18-47C4-8C9D-4667CD55A00C}"/>
            </c:ext>
          </c:extLst>
        </c:ser>
        <c:ser>
          <c:idx val="4"/>
          <c:order val="4"/>
          <c:tx>
            <c:strRef>
              <c:f>Т1090!$A$6</c:f>
              <c:strCache>
                <c:ptCount val="1"/>
                <c:pt idx="0">
                  <c:v> Масса припоя: 10 гр. Т=1040 С</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errBars>
            <c:errDir val="y"/>
            <c:errBarType val="both"/>
            <c:errValType val="stdErr"/>
            <c:noEndCap val="0"/>
            <c:spPr>
              <a:noFill/>
              <a:ln w="9525" cap="flat" cmpd="sng" algn="ctr">
                <a:solidFill>
                  <a:schemeClr val="tx1">
                    <a:lumMod val="65000"/>
                    <a:lumOff val="35000"/>
                  </a:schemeClr>
                </a:solidFill>
                <a:round/>
              </a:ln>
              <a:effectLst/>
            </c:spPr>
          </c:errBars>
          <c:cat>
            <c:numRef>
              <c:f>Т1090!$B$2:$H$2</c:f>
              <c:numCache>
                <c:formatCode>General</c:formatCode>
                <c:ptCount val="6"/>
                <c:pt idx="0">
                  <c:v>0.3</c:v>
                </c:pt>
                <c:pt idx="1">
                  <c:v>0.5</c:v>
                </c:pt>
                <c:pt idx="2">
                  <c:v>0.7</c:v>
                </c:pt>
                <c:pt idx="3">
                  <c:v>0.85</c:v>
                </c:pt>
                <c:pt idx="4">
                  <c:v>1</c:v>
                </c:pt>
                <c:pt idx="5">
                  <c:v>1.5</c:v>
                </c:pt>
              </c:numCache>
              <c:extLst/>
            </c:numRef>
          </c:cat>
          <c:val>
            <c:numRef>
              <c:f>Т1090!$B$6:$H$6</c:f>
              <c:numCache>
                <c:formatCode>General</c:formatCode>
                <c:ptCount val="6"/>
                <c:pt idx="0">
                  <c:v>35</c:v>
                </c:pt>
                <c:pt idx="1">
                  <c:v>32.94</c:v>
                </c:pt>
                <c:pt idx="2">
                  <c:v>25.17</c:v>
                </c:pt>
                <c:pt idx="3">
                  <c:v>19.170000000000002</c:v>
                </c:pt>
                <c:pt idx="4">
                  <c:v>13.66</c:v>
                </c:pt>
                <c:pt idx="5">
                  <c:v>0.2</c:v>
                </c:pt>
              </c:numCache>
              <c:extLst/>
            </c:numRef>
          </c:val>
          <c:smooth val="1"/>
          <c:extLst>
            <c:ext xmlns:c16="http://schemas.microsoft.com/office/drawing/2014/chart" uri="{C3380CC4-5D6E-409C-BE32-E72D297353CC}">
              <c16:uniqueId val="{00000003-5C18-47C4-8C9D-4667CD55A00C}"/>
            </c:ext>
          </c:extLst>
        </c:ser>
        <c:dLbls>
          <c:dLblPos val="t"/>
          <c:showLegendKey val="0"/>
          <c:showVal val="1"/>
          <c:showCatName val="0"/>
          <c:showSerName val="0"/>
          <c:showPercent val="0"/>
          <c:showBubbleSize val="0"/>
        </c:dLbls>
        <c:marker val="1"/>
        <c:smooth val="0"/>
        <c:axId val="1779694832"/>
        <c:axId val="1779688176"/>
        <c:extLst>
          <c:ext xmlns:c15="http://schemas.microsoft.com/office/drawing/2012/chart" uri="{02D57815-91ED-43cb-92C2-25804820EDAC}">
            <c15:filteredLineSeries>
              <c15:ser>
                <c:idx val="0"/>
                <c:order val="0"/>
                <c:tx>
                  <c:strRef>
                    <c:extLst>
                      <c:ext uri="{02D57815-91ED-43cb-92C2-25804820EDAC}">
                        <c15:formulaRef>
                          <c15:sqref>Т1090!$A$1</c15:sqref>
                        </c15:formulaRef>
                      </c:ext>
                    </c:extLst>
                    <c:strCache>
                      <c:ptCount val="1"/>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extLst>
                      <c:ext uri="{02D57815-91ED-43cb-92C2-25804820EDAC}">
                        <c15:formulaRef>
                          <c15:sqref>Т1090!$B$2:$H$2</c15:sqref>
                        </c15:formulaRef>
                      </c:ext>
                    </c:extLst>
                    <c:numCache>
                      <c:formatCode>General</c:formatCode>
                      <c:ptCount val="6"/>
                      <c:pt idx="0">
                        <c:v>0.3</c:v>
                      </c:pt>
                      <c:pt idx="1">
                        <c:v>0.5</c:v>
                      </c:pt>
                      <c:pt idx="2">
                        <c:v>0.7</c:v>
                      </c:pt>
                      <c:pt idx="3">
                        <c:v>0.85</c:v>
                      </c:pt>
                      <c:pt idx="4">
                        <c:v>1</c:v>
                      </c:pt>
                      <c:pt idx="5">
                        <c:v>1.5</c:v>
                      </c:pt>
                    </c:numCache>
                  </c:numRef>
                </c:cat>
                <c:val>
                  <c:numRef>
                    <c:extLst>
                      <c:ext uri="{02D57815-91ED-43cb-92C2-25804820EDAC}">
                        <c15:formulaRef>
                          <c15:sqref>Т1090!$B$2:$H$2</c15:sqref>
                        </c15:formulaRef>
                      </c:ext>
                    </c:extLst>
                    <c:numCache>
                      <c:formatCode>General</c:formatCode>
                      <c:ptCount val="6"/>
                      <c:pt idx="0">
                        <c:v>0.3</c:v>
                      </c:pt>
                      <c:pt idx="1">
                        <c:v>0.5</c:v>
                      </c:pt>
                      <c:pt idx="2">
                        <c:v>0.7</c:v>
                      </c:pt>
                      <c:pt idx="3">
                        <c:v>0.85</c:v>
                      </c:pt>
                      <c:pt idx="4">
                        <c:v>1</c:v>
                      </c:pt>
                      <c:pt idx="5">
                        <c:v>1.5</c:v>
                      </c:pt>
                    </c:numCache>
                  </c:numRef>
                </c:val>
                <c:smooth val="0"/>
                <c:extLst>
                  <c:ext xmlns:c16="http://schemas.microsoft.com/office/drawing/2014/chart" uri="{C3380CC4-5D6E-409C-BE32-E72D297353CC}">
                    <c16:uniqueId val="{00000004-5C18-47C4-8C9D-4667CD55A00C}"/>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Т1090!$A$7</c15:sqref>
                        </c15:formulaRef>
                      </c:ext>
                    </c:extLst>
                    <c:strCache>
                      <c:ptCount val="1"/>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extLst xmlns:c15="http://schemas.microsoft.com/office/drawing/2012/chart">
                      <c:ext xmlns:c15="http://schemas.microsoft.com/office/drawing/2012/chart" uri="{02D57815-91ED-43cb-92C2-25804820EDAC}">
                        <c15:formulaRef>
                          <c15:sqref>Т1090!$B$2:$H$2</c15:sqref>
                        </c15:formulaRef>
                      </c:ext>
                    </c:extLst>
                    <c:numCache>
                      <c:formatCode>General</c:formatCode>
                      <c:ptCount val="6"/>
                      <c:pt idx="0">
                        <c:v>0.3</c:v>
                      </c:pt>
                      <c:pt idx="1">
                        <c:v>0.5</c:v>
                      </c:pt>
                      <c:pt idx="2">
                        <c:v>0.7</c:v>
                      </c:pt>
                      <c:pt idx="3">
                        <c:v>0.85</c:v>
                      </c:pt>
                      <c:pt idx="4">
                        <c:v>1</c:v>
                      </c:pt>
                      <c:pt idx="5">
                        <c:v>1.5</c:v>
                      </c:pt>
                    </c:numCache>
                  </c:numRef>
                </c:cat>
                <c:val>
                  <c:numRef>
                    <c:extLst xmlns:c15="http://schemas.microsoft.com/office/drawing/2012/chart">
                      <c:ext xmlns:c15="http://schemas.microsoft.com/office/drawing/2012/chart" uri="{02D57815-91ED-43cb-92C2-25804820EDAC}">
                        <c15:formulaRef>
                          <c15:sqref>Т1090!$B$7:$H$7</c15:sqref>
                        </c15:formulaRef>
                      </c:ext>
                    </c:extLst>
                    <c:numCache>
                      <c:formatCode>General</c:formatCode>
                      <c:ptCount val="6"/>
                    </c:numCache>
                  </c:numRef>
                </c:val>
                <c:smooth val="0"/>
                <c:extLst xmlns:c15="http://schemas.microsoft.com/office/drawing/2012/chart">
                  <c:ext xmlns:c16="http://schemas.microsoft.com/office/drawing/2014/chart" uri="{C3380CC4-5D6E-409C-BE32-E72D297353CC}">
                    <c16:uniqueId val="{00000005-5C18-47C4-8C9D-4667CD55A00C}"/>
                  </c:ext>
                </c:extLst>
              </c15:ser>
            </c15:filteredLineSeries>
          </c:ext>
        </c:extLst>
      </c:lineChart>
      <c:catAx>
        <c:axId val="1779694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Величнина зазора, мм</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779688176"/>
        <c:crosses val="autoZero"/>
        <c:auto val="1"/>
        <c:lblAlgn val="ctr"/>
        <c:lblOffset val="100"/>
        <c:noMultiLvlLbl val="0"/>
      </c:catAx>
      <c:valAx>
        <c:axId val="1779688176"/>
        <c:scaling>
          <c:orientation val="minMax"/>
          <c:max val="4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Высота подъема припоя, мм</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77969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6</Pages>
  <Words>1077</Words>
  <Characters>6139</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Place</dc:creator>
  <cp:lastModifiedBy>Vyacheslav Morozov</cp:lastModifiedBy>
  <cp:revision>3</cp:revision>
  <dcterms:created xsi:type="dcterms:W3CDTF">2021-10-04T09:14:00Z</dcterms:created>
  <dcterms:modified xsi:type="dcterms:W3CDTF">2026-05-04T12:52:00Z</dcterms:modified>
</cp:coreProperties>
</file>